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17F99992"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5471FF">
        <w:rPr>
          <w:rFonts w:ascii="Verdana" w:hAnsi="Verdana"/>
          <w:sz w:val="20"/>
          <w:szCs w:val="24"/>
        </w:rPr>
        <w:t>June</w:t>
      </w:r>
      <w:r w:rsidR="0095380E">
        <w:rPr>
          <w:rFonts w:ascii="Verdana" w:hAnsi="Verdana"/>
          <w:sz w:val="20"/>
          <w:szCs w:val="24"/>
        </w:rPr>
        <w:t xml:space="preserve"> have seen </w:t>
      </w:r>
      <w:r w:rsidR="005471FF">
        <w:rPr>
          <w:rFonts w:ascii="Verdana" w:hAnsi="Verdana"/>
          <w:sz w:val="20"/>
          <w:szCs w:val="24"/>
        </w:rPr>
        <w:t>consistent</w:t>
      </w:r>
      <w:r w:rsidR="0095380E">
        <w:rPr>
          <w:rFonts w:ascii="Verdana" w:hAnsi="Verdana"/>
          <w:sz w:val="20"/>
          <w:szCs w:val="24"/>
        </w:rPr>
        <w:t xml:space="preserve">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09A00D43">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4DAAF006" w:rsidR="0079732B" w:rsidRDefault="005471FF" w:rsidP="0025280D">
      <w:pPr>
        <w:pStyle w:val="Subtitle"/>
        <w:rPr>
          <w:i/>
          <w:sz w:val="20"/>
          <w:szCs w:val="20"/>
        </w:rPr>
      </w:pPr>
      <w:r w:rsidRPr="005471FF">
        <w:rPr>
          <w:i/>
          <w:noProof/>
          <w:sz w:val="20"/>
          <w:szCs w:val="20"/>
        </w:rPr>
        <w:drawing>
          <wp:inline distT="0" distB="0" distL="0" distR="0" wp14:anchorId="31C6E442" wp14:editId="57BF7C5A">
            <wp:extent cx="6299835" cy="3705225"/>
            <wp:effectExtent l="0" t="0" r="5715" b="9525"/>
            <wp:docPr id="131971224"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6C0008">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3DE13273"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5471FF">
      <w:rPr>
        <w:b/>
      </w:rPr>
      <w:t>June</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0509C"/>
    <w:rsid w:val="00516293"/>
    <w:rsid w:val="005172C2"/>
    <w:rsid w:val="00533C4C"/>
    <w:rsid w:val="005415CA"/>
    <w:rsid w:val="00542928"/>
    <w:rsid w:val="005447BC"/>
    <w:rsid w:val="005471FF"/>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0008"/>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557"/>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288"/>
    <w:rsid w:val="00B51F55"/>
    <w:rsid w:val="00B66D19"/>
    <w:rsid w:val="00B97458"/>
    <w:rsid w:val="00BD7957"/>
    <w:rsid w:val="00BE3480"/>
    <w:rsid w:val="00BF7545"/>
    <w:rsid w:val="00C1092F"/>
    <w:rsid w:val="00C13682"/>
    <w:rsid w:val="00C23CF8"/>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7072367768362186"/>
          <c:y val="2.7420736932305057E-2"/>
        </c:manualLayout>
      </c:layout>
      <c:overlay val="0"/>
    </c:title>
    <c:autoTitleDeleted val="0"/>
    <c:plotArea>
      <c:layout>
        <c:manualLayout>
          <c:layoutTarget val="inner"/>
          <c:xMode val="edge"/>
          <c:yMode val="edge"/>
          <c:x val="8.2769310624802084E-2"/>
          <c:y val="6.5661136249371546E-2"/>
          <c:w val="0.82552495422499161"/>
          <c:h val="0.76384538050995554"/>
        </c:manualLayout>
      </c:layout>
      <c:barChart>
        <c:barDir val="col"/>
        <c:grouping val="clustered"/>
        <c:varyColors val="0"/>
        <c:ser>
          <c:idx val="0"/>
          <c:order val="0"/>
          <c:spPr>
            <a:solidFill>
              <a:srgbClr val="5B9BD5"/>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%'!$C$2317:$C$2662</c:f>
            </c:numRef>
          </c:val>
          <c:extLst>
            <c:ext xmlns:c16="http://schemas.microsoft.com/office/drawing/2014/chart" uri="{C3380CC4-5D6E-409C-BE32-E72D297353CC}">
              <c16:uniqueId val="{00000000-7C85-4C98-90AB-7F23ADF22192}"/>
            </c:ext>
          </c:extLst>
        </c:ser>
        <c:ser>
          <c:idx val="1"/>
          <c:order val="1"/>
          <c:spPr>
            <a:solidFill>
              <a:srgbClr val="ED7D31"/>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%'!$D$2317:$D$2662</c:f>
            </c:numRef>
          </c:val>
          <c:extLst>
            <c:ext xmlns:c16="http://schemas.microsoft.com/office/drawing/2014/chart" uri="{C3380CC4-5D6E-409C-BE32-E72D297353CC}">
              <c16:uniqueId val="{00000001-7C85-4C98-90AB-7F23ADF22192}"/>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%'!$E$2317:$E$2662</c:f>
            </c:numRef>
          </c:val>
          <c:extLst>
            <c:ext xmlns:c16="http://schemas.microsoft.com/office/drawing/2014/chart" uri="{C3380CC4-5D6E-409C-BE32-E72D297353CC}">
              <c16:uniqueId val="{00000002-7C85-4C98-90AB-7F23ADF22192}"/>
            </c:ext>
          </c:extLst>
        </c:ser>
        <c:ser>
          <c:idx val="3"/>
          <c:order val="3"/>
          <c:spPr>
            <a:solidFill>
              <a:srgbClr val="00B0F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%'!$F$2317:$F$2662</c:f>
            </c:numRef>
          </c:val>
          <c:extLst>
            <c:ext xmlns:c16="http://schemas.microsoft.com/office/drawing/2014/chart" uri="{C3380CC4-5D6E-409C-BE32-E72D297353CC}">
              <c16:uniqueId val="{00000003-7C85-4C98-90AB-7F23ADF22192}"/>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%'!$G$2319:$G$4020</c:f>
              <c:numCache>
                <c:formatCode>0.00</c:formatCode>
                <c:ptCount val="1702"/>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pt idx="1611" formatCode="General">
                  <c:v>96</c:v>
                </c:pt>
                <c:pt idx="1612" formatCode="General">
                  <c:v>184</c:v>
                </c:pt>
                <c:pt idx="1613" formatCode="General">
                  <c:v>104</c:v>
                </c:pt>
                <c:pt idx="1614" formatCode="General">
                  <c:v>143</c:v>
                </c:pt>
                <c:pt idx="1615" formatCode="General">
                  <c:v>140</c:v>
                </c:pt>
                <c:pt idx="1616" formatCode="General">
                  <c:v>100</c:v>
                </c:pt>
                <c:pt idx="1617" formatCode="General">
                  <c:v>146</c:v>
                </c:pt>
                <c:pt idx="1618" formatCode="General">
                  <c:v>139</c:v>
                </c:pt>
                <c:pt idx="1619" formatCode="General">
                  <c:v>67</c:v>
                </c:pt>
                <c:pt idx="1620" formatCode="General">
                  <c:v>108</c:v>
                </c:pt>
                <c:pt idx="1621" formatCode="General">
                  <c:v>165</c:v>
                </c:pt>
                <c:pt idx="1622" formatCode="General">
                  <c:v>111</c:v>
                </c:pt>
                <c:pt idx="1623" formatCode="General">
                  <c:v>263</c:v>
                </c:pt>
                <c:pt idx="1624" formatCode="General">
                  <c:v>27</c:v>
                </c:pt>
                <c:pt idx="1625" formatCode="General">
                  <c:v>84</c:v>
                </c:pt>
                <c:pt idx="1626" formatCode="General">
                  <c:v>193</c:v>
                </c:pt>
                <c:pt idx="1627" formatCode="General">
                  <c:v>157</c:v>
                </c:pt>
                <c:pt idx="1628" formatCode="General">
                  <c:v>105</c:v>
                </c:pt>
                <c:pt idx="1629" formatCode="General">
                  <c:v>72</c:v>
                </c:pt>
                <c:pt idx="1630" formatCode="General">
                  <c:v>211</c:v>
                </c:pt>
                <c:pt idx="1631" formatCode="General">
                  <c:v>136</c:v>
                </c:pt>
                <c:pt idx="1632" formatCode="General">
                  <c:v>43</c:v>
                </c:pt>
                <c:pt idx="1633" formatCode="General">
                  <c:v>140</c:v>
                </c:pt>
                <c:pt idx="1634" formatCode="General">
                  <c:v>89</c:v>
                </c:pt>
                <c:pt idx="1635" formatCode="General">
                  <c:v>165</c:v>
                </c:pt>
                <c:pt idx="1636" formatCode="General">
                  <c:v>120</c:v>
                </c:pt>
                <c:pt idx="1637" formatCode="General">
                  <c:v>197</c:v>
                </c:pt>
                <c:pt idx="1638" formatCode="General">
                  <c:v>114</c:v>
                </c:pt>
                <c:pt idx="1639" formatCode="General">
                  <c:v>66</c:v>
                </c:pt>
                <c:pt idx="1640" formatCode="General">
                  <c:v>163</c:v>
                </c:pt>
                <c:pt idx="1641" formatCode="General">
                  <c:v>105</c:v>
                </c:pt>
                <c:pt idx="1642" formatCode="General">
                  <c:v>137</c:v>
                </c:pt>
                <c:pt idx="1643" formatCode="General">
                  <c:v>104</c:v>
                </c:pt>
                <c:pt idx="1644" formatCode="General">
                  <c:v>139</c:v>
                </c:pt>
                <c:pt idx="1645" formatCode="General">
                  <c:v>118</c:v>
                </c:pt>
                <c:pt idx="1646" formatCode="General">
                  <c:v>10</c:v>
                </c:pt>
                <c:pt idx="1647" formatCode="General">
                  <c:v>218</c:v>
                </c:pt>
                <c:pt idx="1648" formatCode="General">
                  <c:v>111</c:v>
                </c:pt>
                <c:pt idx="1649" formatCode="General">
                  <c:v>151</c:v>
                </c:pt>
                <c:pt idx="1650" formatCode="General">
                  <c:v>48</c:v>
                </c:pt>
                <c:pt idx="1651" formatCode="General">
                  <c:v>124</c:v>
                </c:pt>
                <c:pt idx="1652" formatCode="General">
                  <c:v>121</c:v>
                </c:pt>
                <c:pt idx="1653" formatCode="General">
                  <c:v>100</c:v>
                </c:pt>
                <c:pt idx="1654" formatCode="General">
                  <c:v>104</c:v>
                </c:pt>
                <c:pt idx="1655" formatCode="General">
                  <c:v>79</c:v>
                </c:pt>
                <c:pt idx="1656" formatCode="General">
                  <c:v>93</c:v>
                </c:pt>
                <c:pt idx="1657" formatCode="General">
                  <c:v>198</c:v>
                </c:pt>
                <c:pt idx="1658" formatCode="General">
                  <c:v>131</c:v>
                </c:pt>
                <c:pt idx="1659" formatCode="General">
                  <c:v>0</c:v>
                </c:pt>
                <c:pt idx="1660" formatCode="General">
                  <c:v>279</c:v>
                </c:pt>
                <c:pt idx="1661" formatCode="General">
                  <c:v>31</c:v>
                </c:pt>
                <c:pt idx="1662" formatCode="General">
                  <c:v>151</c:v>
                </c:pt>
                <c:pt idx="1663" formatCode="General">
                  <c:v>74</c:v>
                </c:pt>
                <c:pt idx="1664" formatCode="General">
                  <c:v>104</c:v>
                </c:pt>
                <c:pt idx="1665" formatCode="General">
                  <c:v>119</c:v>
                </c:pt>
                <c:pt idx="1666" formatCode="General">
                  <c:v>145</c:v>
                </c:pt>
                <c:pt idx="1667" formatCode="General">
                  <c:v>124</c:v>
                </c:pt>
                <c:pt idx="1668" formatCode="General">
                  <c:v>139</c:v>
                </c:pt>
                <c:pt idx="1669" formatCode="General">
                  <c:v>141</c:v>
                </c:pt>
                <c:pt idx="1670" formatCode="General">
                  <c:v>144</c:v>
                </c:pt>
                <c:pt idx="1671" formatCode="General">
                  <c:v>246</c:v>
                </c:pt>
                <c:pt idx="1672" formatCode="General">
                  <c:v>177</c:v>
                </c:pt>
                <c:pt idx="1673" formatCode="General">
                  <c:v>176</c:v>
                </c:pt>
                <c:pt idx="1674" formatCode="General">
                  <c:v>58</c:v>
                </c:pt>
                <c:pt idx="1675" formatCode="General">
                  <c:v>125</c:v>
                </c:pt>
                <c:pt idx="1676" formatCode="General">
                  <c:v>114</c:v>
                </c:pt>
                <c:pt idx="1677" formatCode="General">
                  <c:v>122</c:v>
                </c:pt>
                <c:pt idx="1678" formatCode="General">
                  <c:v>116</c:v>
                </c:pt>
                <c:pt idx="1679" formatCode="General">
                  <c:v>204</c:v>
                </c:pt>
                <c:pt idx="1680" formatCode="General">
                  <c:v>117</c:v>
                </c:pt>
                <c:pt idx="1681" formatCode="General">
                  <c:v>118</c:v>
                </c:pt>
                <c:pt idx="1682" formatCode="General">
                  <c:v>32</c:v>
                </c:pt>
                <c:pt idx="1683" formatCode="General">
                  <c:v>107</c:v>
                </c:pt>
                <c:pt idx="1684" formatCode="General">
                  <c:v>119</c:v>
                </c:pt>
                <c:pt idx="1685" formatCode="General">
                  <c:v>105</c:v>
                </c:pt>
                <c:pt idx="1686" formatCode="General">
                  <c:v>32</c:v>
                </c:pt>
                <c:pt idx="1687" formatCode="General">
                  <c:v>137</c:v>
                </c:pt>
                <c:pt idx="1688" formatCode="General">
                  <c:v>82</c:v>
                </c:pt>
                <c:pt idx="1689" formatCode="General">
                  <c:v>129</c:v>
                </c:pt>
                <c:pt idx="1690" formatCode="General">
                  <c:v>121</c:v>
                </c:pt>
                <c:pt idx="1691" formatCode="General">
                  <c:v>79</c:v>
                </c:pt>
                <c:pt idx="1692" formatCode="General">
                  <c:v>155</c:v>
                </c:pt>
                <c:pt idx="1693" formatCode="General">
                  <c:v>216</c:v>
                </c:pt>
                <c:pt idx="1694" formatCode="General">
                  <c:v>32</c:v>
                </c:pt>
                <c:pt idx="1695" formatCode="General">
                  <c:v>99</c:v>
                </c:pt>
                <c:pt idx="1696" formatCode="General">
                  <c:v>109</c:v>
                </c:pt>
                <c:pt idx="1697" formatCode="General">
                  <c:v>131</c:v>
                </c:pt>
                <c:pt idx="1698" formatCode="General">
                  <c:v>145</c:v>
                </c:pt>
                <c:pt idx="1699" formatCode="General">
                  <c:v>74</c:v>
                </c:pt>
                <c:pt idx="1700" formatCode="General">
                  <c:v>196</c:v>
                </c:pt>
                <c:pt idx="1701" formatCode="General">
                  <c:v>149</c:v>
                </c:pt>
              </c:numCache>
            </c:numRef>
          </c:val>
          <c:extLst>
            <c:ext xmlns:c16="http://schemas.microsoft.com/office/drawing/2014/chart" uri="{C3380CC4-5D6E-409C-BE32-E72D297353CC}">
              <c16:uniqueId val="{00000004-7C85-4C98-90AB-7F23ADF22192}"/>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%'!$I$2317:$I$4020</c:f>
              <c:numCache>
                <c:formatCode>0.00</c:formatCode>
                <c:ptCount val="1704"/>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pt idx="1613" formatCode="General">
                  <c:v>86</c:v>
                </c:pt>
                <c:pt idx="1614" formatCode="General">
                  <c:v>0</c:v>
                </c:pt>
                <c:pt idx="1615" formatCode="General">
                  <c:v>54</c:v>
                </c:pt>
                <c:pt idx="1616" formatCode="General">
                  <c:v>62</c:v>
                </c:pt>
                <c:pt idx="1617" formatCode="General">
                  <c:v>29</c:v>
                </c:pt>
                <c:pt idx="1618" formatCode="General">
                  <c:v>30</c:v>
                </c:pt>
                <c:pt idx="1619" formatCode="General">
                  <c:v>0</c:v>
                </c:pt>
                <c:pt idx="1620" formatCode="General">
                  <c:v>0</c:v>
                </c:pt>
                <c:pt idx="1621" formatCode="General">
                  <c:v>137</c:v>
                </c:pt>
                <c:pt idx="1622" formatCode="General">
                  <c:v>221</c:v>
                </c:pt>
                <c:pt idx="1623" formatCode="General">
                  <c:v>0</c:v>
                </c:pt>
                <c:pt idx="1624" formatCode="General">
                  <c:v>113</c:v>
                </c:pt>
                <c:pt idx="1625" formatCode="General">
                  <c:v>0</c:v>
                </c:pt>
                <c:pt idx="1626" formatCode="General">
                  <c:v>67</c:v>
                </c:pt>
                <c:pt idx="1627" formatCode="General">
                  <c:v>91</c:v>
                </c:pt>
                <c:pt idx="1628" formatCode="General">
                  <c:v>0</c:v>
                </c:pt>
                <c:pt idx="1629" formatCode="General">
                  <c:v>37</c:v>
                </c:pt>
                <c:pt idx="1630" formatCode="General">
                  <c:v>67</c:v>
                </c:pt>
                <c:pt idx="1631" formatCode="General">
                  <c:v>39</c:v>
                </c:pt>
                <c:pt idx="1632" formatCode="General">
                  <c:v>0</c:v>
                </c:pt>
                <c:pt idx="1633" formatCode="General">
                  <c:v>0</c:v>
                </c:pt>
                <c:pt idx="1634" formatCode="General">
                  <c:v>137</c:v>
                </c:pt>
                <c:pt idx="1635" formatCode="General">
                  <c:v>0</c:v>
                </c:pt>
                <c:pt idx="1636" formatCode="General">
                  <c:v>0</c:v>
                </c:pt>
                <c:pt idx="1637" formatCode="General">
                  <c:v>91</c:v>
                </c:pt>
                <c:pt idx="1638" formatCode="General">
                  <c:v>47</c:v>
                </c:pt>
                <c:pt idx="1639" formatCode="General">
                  <c:v>0</c:v>
                </c:pt>
                <c:pt idx="1640" formatCode="General">
                  <c:v>61</c:v>
                </c:pt>
                <c:pt idx="1641" formatCode="General">
                  <c:v>73</c:v>
                </c:pt>
                <c:pt idx="1642" formatCode="General">
                  <c:v>14</c:v>
                </c:pt>
                <c:pt idx="1643" formatCode="General">
                  <c:v>15</c:v>
                </c:pt>
                <c:pt idx="1644" formatCode="General">
                  <c:v>0</c:v>
                </c:pt>
                <c:pt idx="1645" formatCode="General">
                  <c:v>30</c:v>
                </c:pt>
                <c:pt idx="1646" formatCode="General">
                  <c:v>0</c:v>
                </c:pt>
                <c:pt idx="1647" formatCode="General">
                  <c:v>15</c:v>
                </c:pt>
                <c:pt idx="1648" formatCode="General">
                  <c:v>309</c:v>
                </c:pt>
                <c:pt idx="1649" formatCode="General">
                  <c:v>0</c:v>
                </c:pt>
                <c:pt idx="1650" formatCode="General">
                  <c:v>0</c:v>
                </c:pt>
                <c:pt idx="1651" formatCode="General">
                  <c:v>0</c:v>
                </c:pt>
                <c:pt idx="1652" formatCode="General">
                  <c:v>69</c:v>
                </c:pt>
                <c:pt idx="1653" formatCode="General">
                  <c:v>0</c:v>
                </c:pt>
                <c:pt idx="1654" formatCode="General">
                  <c:v>0</c:v>
                </c:pt>
                <c:pt idx="1655" formatCode="General">
                  <c:v>0</c:v>
                </c:pt>
                <c:pt idx="1656" formatCode="General">
                  <c:v>0</c:v>
                </c:pt>
                <c:pt idx="1657" formatCode="General">
                  <c:v>118</c:v>
                </c:pt>
                <c:pt idx="1658" formatCode="General">
                  <c:v>6</c:v>
                </c:pt>
                <c:pt idx="1659" formatCode="General">
                  <c:v>0</c:v>
                </c:pt>
                <c:pt idx="1660" formatCode="General">
                  <c:v>12</c:v>
                </c:pt>
                <c:pt idx="1661" formatCode="General">
                  <c:v>117</c:v>
                </c:pt>
                <c:pt idx="1662" formatCode="General">
                  <c:v>0</c:v>
                </c:pt>
                <c:pt idx="1663" formatCode="General">
                  <c:v>43</c:v>
                </c:pt>
                <c:pt idx="1664" formatCode="General">
                  <c:v>0</c:v>
                </c:pt>
                <c:pt idx="1665" formatCode="General">
                  <c:v>5</c:v>
                </c:pt>
                <c:pt idx="1666" formatCode="General">
                  <c:v>18</c:v>
                </c:pt>
                <c:pt idx="1667" formatCode="General">
                  <c:v>0</c:v>
                </c:pt>
                <c:pt idx="1668" formatCode="General">
                  <c:v>0</c:v>
                </c:pt>
                <c:pt idx="1669" formatCode="General">
                  <c:v>13</c:v>
                </c:pt>
                <c:pt idx="1670" formatCode="General">
                  <c:v>0</c:v>
                </c:pt>
                <c:pt idx="1671" formatCode="General">
                  <c:v>0</c:v>
                </c:pt>
                <c:pt idx="1672" formatCode="General">
                  <c:v>13</c:v>
                </c:pt>
                <c:pt idx="1673" formatCode="General">
                  <c:v>0</c:v>
                </c:pt>
                <c:pt idx="1674" formatCode="General">
                  <c:v>0</c:v>
                </c:pt>
                <c:pt idx="1675" formatCode="General">
                  <c:v>0</c:v>
                </c:pt>
                <c:pt idx="1676" formatCode="General">
                  <c:v>16</c:v>
                </c:pt>
                <c:pt idx="1677" formatCode="General">
                  <c:v>0</c:v>
                </c:pt>
                <c:pt idx="1678" formatCode="General">
                  <c:v>0</c:v>
                </c:pt>
                <c:pt idx="1679" formatCode="General">
                  <c:v>0</c:v>
                </c:pt>
                <c:pt idx="1680" formatCode="General">
                  <c:v>0</c:v>
                </c:pt>
                <c:pt idx="1681" formatCode="General">
                  <c:v>132</c:v>
                </c:pt>
                <c:pt idx="1682" formatCode="General">
                  <c:v>19</c:v>
                </c:pt>
                <c:pt idx="1683" formatCode="General">
                  <c:v>66</c:v>
                </c:pt>
                <c:pt idx="1684" formatCode="General">
                  <c:v>16</c:v>
                </c:pt>
                <c:pt idx="1685" formatCode="General">
                  <c:v>36</c:v>
                </c:pt>
                <c:pt idx="1686" formatCode="General">
                  <c:v>77</c:v>
                </c:pt>
                <c:pt idx="1687" formatCode="General">
                  <c:v>16</c:v>
                </c:pt>
                <c:pt idx="1688" formatCode="General">
                  <c:v>10</c:v>
                </c:pt>
                <c:pt idx="1689" formatCode="General">
                  <c:v>42</c:v>
                </c:pt>
                <c:pt idx="1690" formatCode="General">
                  <c:v>34</c:v>
                </c:pt>
                <c:pt idx="1691" formatCode="General">
                  <c:v>14</c:v>
                </c:pt>
                <c:pt idx="1692" formatCode="General">
                  <c:v>51</c:v>
                </c:pt>
                <c:pt idx="1693" formatCode="General">
                  <c:v>38</c:v>
                </c:pt>
                <c:pt idx="1694" formatCode="General">
                  <c:v>32</c:v>
                </c:pt>
                <c:pt idx="1695" formatCode="General">
                  <c:v>76</c:v>
                </c:pt>
                <c:pt idx="1696" formatCode="General">
                  <c:v>28</c:v>
                </c:pt>
                <c:pt idx="1697" formatCode="General">
                  <c:v>28</c:v>
                </c:pt>
                <c:pt idx="1698" formatCode="General">
                  <c:v>61</c:v>
                </c:pt>
                <c:pt idx="1699" formatCode="General">
                  <c:v>20</c:v>
                </c:pt>
                <c:pt idx="1700" formatCode="General">
                  <c:v>71</c:v>
                </c:pt>
                <c:pt idx="1701" formatCode="General">
                  <c:v>71</c:v>
                </c:pt>
                <c:pt idx="1702" formatCode="General">
                  <c:v>49</c:v>
                </c:pt>
                <c:pt idx="1703" formatCode="General">
                  <c:v>28</c:v>
                </c:pt>
              </c:numCache>
            </c:numRef>
          </c:val>
          <c:extLst>
            <c:ext xmlns:c16="http://schemas.microsoft.com/office/drawing/2014/chart" uri="{C3380CC4-5D6E-409C-BE32-E72D297353CC}">
              <c16:uniqueId val="{00000005-7C85-4C98-90AB-7F23ADF22192}"/>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%'!$K$2317:$K$4020</c:f>
              <c:numCache>
                <c:formatCode>General</c:formatCode>
                <c:ptCount val="1704"/>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pt idx="1613">
                  <c:v>100</c:v>
                </c:pt>
                <c:pt idx="1614">
                  <c:v>100</c:v>
                </c:pt>
                <c:pt idx="1615">
                  <c:v>100</c:v>
                </c:pt>
                <c:pt idx="1616">
                  <c:v>100</c:v>
                </c:pt>
                <c:pt idx="1617">
                  <c:v>100</c:v>
                </c:pt>
                <c:pt idx="1618">
                  <c:v>100</c:v>
                </c:pt>
                <c:pt idx="1619">
                  <c:v>100</c:v>
                </c:pt>
                <c:pt idx="1620">
                  <c:v>100</c:v>
                </c:pt>
                <c:pt idx="1621">
                  <c:v>100</c:v>
                </c:pt>
                <c:pt idx="1622">
                  <c:v>100</c:v>
                </c:pt>
                <c:pt idx="1623">
                  <c:v>100</c:v>
                </c:pt>
                <c:pt idx="1624">
                  <c:v>100</c:v>
                </c:pt>
                <c:pt idx="1625">
                  <c:v>100</c:v>
                </c:pt>
                <c:pt idx="1626">
                  <c:v>100</c:v>
                </c:pt>
                <c:pt idx="1627">
                  <c:v>100</c:v>
                </c:pt>
                <c:pt idx="1628">
                  <c:v>100</c:v>
                </c:pt>
                <c:pt idx="1629">
                  <c:v>100</c:v>
                </c:pt>
                <c:pt idx="1630">
                  <c:v>100</c:v>
                </c:pt>
                <c:pt idx="1631">
                  <c:v>100</c:v>
                </c:pt>
                <c:pt idx="1632">
                  <c:v>100</c:v>
                </c:pt>
                <c:pt idx="1633">
                  <c:v>100</c:v>
                </c:pt>
                <c:pt idx="1634">
                  <c:v>100</c:v>
                </c:pt>
                <c:pt idx="1635">
                  <c:v>100</c:v>
                </c:pt>
                <c:pt idx="1636">
                  <c:v>100</c:v>
                </c:pt>
                <c:pt idx="1637">
                  <c:v>100</c:v>
                </c:pt>
                <c:pt idx="1638">
                  <c:v>100</c:v>
                </c:pt>
                <c:pt idx="1639">
                  <c:v>100</c:v>
                </c:pt>
                <c:pt idx="1640">
                  <c:v>100</c:v>
                </c:pt>
                <c:pt idx="1641">
                  <c:v>100</c:v>
                </c:pt>
                <c:pt idx="1642">
                  <c:v>100</c:v>
                </c:pt>
                <c:pt idx="1643">
                  <c:v>100</c:v>
                </c:pt>
                <c:pt idx="1644">
                  <c:v>100</c:v>
                </c:pt>
                <c:pt idx="1645">
                  <c:v>100</c:v>
                </c:pt>
                <c:pt idx="1646">
                  <c:v>100</c:v>
                </c:pt>
                <c:pt idx="1647">
                  <c:v>100</c:v>
                </c:pt>
                <c:pt idx="1648">
                  <c:v>100</c:v>
                </c:pt>
                <c:pt idx="1649">
                  <c:v>100</c:v>
                </c:pt>
                <c:pt idx="1650">
                  <c:v>100</c:v>
                </c:pt>
                <c:pt idx="1651">
                  <c:v>100</c:v>
                </c:pt>
                <c:pt idx="1652">
                  <c:v>100</c:v>
                </c:pt>
                <c:pt idx="1653">
                  <c:v>100</c:v>
                </c:pt>
                <c:pt idx="1654">
                  <c:v>100</c:v>
                </c:pt>
                <c:pt idx="1655">
                  <c:v>100</c:v>
                </c:pt>
                <c:pt idx="1656">
                  <c:v>100</c:v>
                </c:pt>
                <c:pt idx="1657">
                  <c:v>100</c:v>
                </c:pt>
                <c:pt idx="1658">
                  <c:v>100</c:v>
                </c:pt>
                <c:pt idx="1659">
                  <c:v>100</c:v>
                </c:pt>
                <c:pt idx="1660">
                  <c:v>100</c:v>
                </c:pt>
                <c:pt idx="1661">
                  <c:v>100</c:v>
                </c:pt>
                <c:pt idx="1662">
                  <c:v>100</c:v>
                </c:pt>
                <c:pt idx="1663">
                  <c:v>100</c:v>
                </c:pt>
                <c:pt idx="1664">
                  <c:v>100</c:v>
                </c:pt>
                <c:pt idx="1665">
                  <c:v>100</c:v>
                </c:pt>
                <c:pt idx="1666">
                  <c:v>100</c:v>
                </c:pt>
                <c:pt idx="1667">
                  <c:v>100</c:v>
                </c:pt>
                <c:pt idx="1668">
                  <c:v>100</c:v>
                </c:pt>
                <c:pt idx="1669">
                  <c:v>100</c:v>
                </c:pt>
                <c:pt idx="1670">
                  <c:v>100</c:v>
                </c:pt>
                <c:pt idx="1671">
                  <c:v>100</c:v>
                </c:pt>
                <c:pt idx="1672">
                  <c:v>100</c:v>
                </c:pt>
                <c:pt idx="1673">
                  <c:v>100</c:v>
                </c:pt>
                <c:pt idx="1674">
                  <c:v>100</c:v>
                </c:pt>
                <c:pt idx="1675">
                  <c:v>100</c:v>
                </c:pt>
                <c:pt idx="1676">
                  <c:v>100</c:v>
                </c:pt>
                <c:pt idx="1677">
                  <c:v>100</c:v>
                </c:pt>
                <c:pt idx="1678">
                  <c:v>100</c:v>
                </c:pt>
                <c:pt idx="1679">
                  <c:v>100</c:v>
                </c:pt>
                <c:pt idx="1680">
                  <c:v>100</c:v>
                </c:pt>
                <c:pt idx="1681">
                  <c:v>100</c:v>
                </c:pt>
                <c:pt idx="1682">
                  <c:v>100</c:v>
                </c:pt>
                <c:pt idx="1683">
                  <c:v>100</c:v>
                </c:pt>
                <c:pt idx="1684">
                  <c:v>100</c:v>
                </c:pt>
                <c:pt idx="1685">
                  <c:v>100</c:v>
                </c:pt>
                <c:pt idx="1686">
                  <c:v>100</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numCache>
            </c:numRef>
          </c:val>
          <c:smooth val="0"/>
          <c:extLst>
            <c:ext xmlns:c16="http://schemas.microsoft.com/office/drawing/2014/chart" uri="{C3380CC4-5D6E-409C-BE32-E72D297353CC}">
              <c16:uniqueId val="{00000006-7C85-4C98-90AB-7F23ADF22192}"/>
            </c:ext>
          </c:extLst>
        </c:ser>
        <c:dLbls>
          <c:showLegendKey val="0"/>
          <c:showVal val="0"/>
          <c:showCatName val="0"/>
          <c:showSerName val="0"/>
          <c:showPercent val="0"/>
          <c:showBubbleSize val="0"/>
        </c:dLbls>
        <c:marker val="1"/>
        <c:smooth val="0"/>
        <c:axId val="3"/>
        <c:axId val="4"/>
      </c:lineChart>
      <c:dateAx>
        <c:axId val="506136056"/>
        <c:scaling>
          <c:orientation val="minMax"/>
          <c:max val="45473"/>
          <c:min val="45107"/>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6.8376235250605738E-2"/>
          <c:y val="2.4251690760877111E-2"/>
          <c:w val="0.31553366080222733"/>
          <c:h val="0.14136172567118055"/>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0.5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0.03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0.018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0.015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7.2</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7.2</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0.5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0.03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0.018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0.015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cp:lastModifiedBy>
  <cp:revision>3</cp:revision>
  <cp:lastPrinted>2020-04-17T01:08:00Z</cp:lastPrinted>
  <dcterms:created xsi:type="dcterms:W3CDTF">2024-07-12T03:43:00Z</dcterms:created>
  <dcterms:modified xsi:type="dcterms:W3CDTF">2024-10-14T00:39:00Z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