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March to May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even" r:id="rId14"/>
          <w:headerReference w:type="default" r:id="rId15"/>
          <w:footerReference w:type="even" r:id="rId16"/>
          <w:footerReference w:type="default" r:id="rId17"/>
          <w:headerReference w:type="first" r:id="rId18"/>
          <w:footerReference w:type="first" r:id="rId19"/>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20"/>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26A9BA3E">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FE02268" w14:textId="3175CE8E" w:rsidR="004A3AC2" w:rsidRDefault="004A3AC2" w:rsidP="00EB21EE">
      <w:pPr>
        <w:pStyle w:val="Heading1"/>
        <w:rPr>
          <w:b/>
        </w:rPr>
      </w:pPr>
    </w:p>
    <w:p w14:paraId="336A063A" w14:textId="2C053C7F" w:rsidR="0079732B" w:rsidRDefault="00E87D9C" w:rsidP="0025280D">
      <w:pPr>
        <w:pStyle w:val="Subtitle"/>
        <w:rPr>
          <w:i/>
          <w:sz w:val="20"/>
          <w:szCs w:val="20"/>
        </w:rPr>
      </w:pPr>
      <w:r w:rsidRPr="00134E44">
        <w:rPr>
          <w:noProof/>
        </w:rPr>
        <w:drawing>
          <wp:inline distT="0" distB="0" distL="0" distR="0" wp14:anchorId="5FEE9476" wp14:editId="33E01645">
            <wp:extent cx="6299835" cy="3048000"/>
            <wp:effectExtent l="0" t="0" r="5715" b="0"/>
            <wp:docPr id="16" name="Chart 16">
              <a:extLst xmlns:a="http://schemas.openxmlformats.org/drawingml/2006/main">
                <a:ext uri="{FF2B5EF4-FFF2-40B4-BE49-F238E27FC236}">
                  <a16:creationId xmlns:a16="http://schemas.microsoft.com/office/drawing/2014/main" id="{4798D7C8-2103-05CA-AA01-A3E74AEEA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7"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734B77">
      <w:pPr>
        <w:rPr>
          <w:rFonts w:ascii="Verdana" w:hAnsi="Verdana"/>
          <w:sz w:val="24"/>
          <w:szCs w:val="24"/>
        </w:rPr>
      </w:pPr>
      <w:hyperlink r:id="rId28"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9"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30"/>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000C" w14:textId="77777777" w:rsidR="00E87D9C" w:rsidRDefault="00E87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7211" w14:textId="77777777" w:rsidR="00E87D9C" w:rsidRDefault="00E87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B8B2" w14:textId="77777777" w:rsidR="00E87D9C" w:rsidRDefault="00E87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BE33" w14:textId="77777777" w:rsidR="00E87D9C" w:rsidRDefault="00E8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41FF22A0"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 xml:space="preserve">ealth – </w:t>
    </w:r>
    <w:r w:rsidR="00E87D9C">
      <w:rPr>
        <w:b/>
      </w:rPr>
      <w:t xml:space="preserve">June </w:t>
    </w:r>
    <w:r w:rsidR="00A77AFD">
      <w:rPr>
        <w:b/>
      </w:rPr>
      <w:t>202</w:t>
    </w:r>
    <w:r w:rsidR="000E139A">
      <w:rPr>
        <w:b/>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92C92"/>
    <w:rsid w:val="0059339F"/>
    <w:rsid w:val="005E075C"/>
    <w:rsid w:val="005E6D09"/>
    <w:rsid w:val="00612454"/>
    <w:rsid w:val="00612CD5"/>
    <w:rsid w:val="00627986"/>
    <w:rsid w:val="00667616"/>
    <w:rsid w:val="0068440F"/>
    <w:rsid w:val="006A25D4"/>
    <w:rsid w:val="006A7AD1"/>
    <w:rsid w:val="006B07D0"/>
    <w:rsid w:val="006C7C9E"/>
    <w:rsid w:val="00722557"/>
    <w:rsid w:val="00734B7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tenterfield.nsw.gov.au/infrastructure/water-supply-includes-water-restrictions/permanent-water-conservation-meas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hyperlink" Target="https://www.nhmrc.gov.au/about-us/publications/australian-drinking-water-guidelines" TargetMode="Externa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yperlink" Target="mailto:council@tenterfield.nsw.gov.au" TargetMode="External"/><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sz="1200"/>
              <a:t>Creek volume % v's KL </a:t>
            </a:r>
          </a:p>
          <a:p>
            <a:pPr>
              <a:defRPr sz="1200" b="0" i="0" u="none" strike="noStrike" baseline="0">
                <a:solidFill>
                  <a:srgbClr val="000000"/>
                </a:solidFill>
                <a:latin typeface="Calibri"/>
                <a:ea typeface="Calibri"/>
                <a:cs typeface="Calibri"/>
              </a:defRPr>
            </a:pPr>
            <a:r>
              <a:rPr lang="en-AU" sz="1200"/>
              <a:t>of Urbenville &amp; Kyogle town supply used</a:t>
            </a:r>
          </a:p>
        </c:rich>
      </c:tx>
      <c:layout>
        <c:manualLayout>
          <c:xMode val="edge"/>
          <c:yMode val="edge"/>
          <c:x val="0.33040008190690706"/>
          <c:y val="2.9166666666666667E-2"/>
        </c:manualLayout>
      </c:layout>
      <c:overlay val="0"/>
    </c:title>
    <c:autoTitleDeleted val="0"/>
    <c:plotArea>
      <c:layout>
        <c:manualLayout>
          <c:layoutTarget val="inner"/>
          <c:xMode val="edge"/>
          <c:yMode val="edge"/>
          <c:x val="9.3183551632701492E-2"/>
          <c:y val="6.5661136249371546E-2"/>
          <c:w val="0.83143082318822636"/>
          <c:h val="0.71990026246719163"/>
        </c:manualLayout>
      </c:layout>
      <c:barChart>
        <c:barDir val="col"/>
        <c:grouping val="clustered"/>
        <c:varyColors val="0"/>
        <c:ser>
          <c:idx val="0"/>
          <c:order val="0"/>
          <c:spPr>
            <a:solidFill>
              <a:srgbClr val="5B9BD5"/>
            </a:solidFill>
            <a:ln w="25400">
              <a:noFill/>
            </a:ln>
          </c:spPr>
          <c:invertIfNegative val="0"/>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%'!$C$2317:$C$2662</c:f>
            </c:numRef>
          </c:val>
          <c:extLst>
            <c:ext xmlns:c16="http://schemas.microsoft.com/office/drawing/2014/chart" uri="{C3380CC4-5D6E-409C-BE32-E72D297353CC}">
              <c16:uniqueId val="{00000000-0E47-4301-A10D-930197C51FA5}"/>
            </c:ext>
          </c:extLst>
        </c:ser>
        <c:ser>
          <c:idx val="1"/>
          <c:order val="1"/>
          <c:spPr>
            <a:solidFill>
              <a:srgbClr val="ED7D31"/>
            </a:solidFill>
            <a:ln w="25400">
              <a:noFill/>
            </a:ln>
          </c:spPr>
          <c:invertIfNegative val="0"/>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%'!$D$2317:$D$2662</c:f>
            </c:numRef>
          </c:val>
          <c:extLst>
            <c:ext xmlns:c16="http://schemas.microsoft.com/office/drawing/2014/chart" uri="{C3380CC4-5D6E-409C-BE32-E72D297353CC}">
              <c16:uniqueId val="{00000001-0E47-4301-A10D-930197C51FA5}"/>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%'!$E$2317:$E$2662</c:f>
            </c:numRef>
          </c:val>
          <c:extLst>
            <c:ext xmlns:c16="http://schemas.microsoft.com/office/drawing/2014/chart" uri="{C3380CC4-5D6E-409C-BE32-E72D297353CC}">
              <c16:uniqueId val="{00000002-0E47-4301-A10D-930197C51FA5}"/>
            </c:ext>
          </c:extLst>
        </c:ser>
        <c:ser>
          <c:idx val="3"/>
          <c:order val="3"/>
          <c:spPr>
            <a:solidFill>
              <a:srgbClr val="00B0F0"/>
            </a:solidFill>
            <a:ln w="25400">
              <a:noFill/>
            </a:ln>
          </c:spPr>
          <c:invertIfNegative val="0"/>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%'!$F$2317:$F$2662</c:f>
            </c:numRef>
          </c:val>
          <c:extLst>
            <c:ext xmlns:c16="http://schemas.microsoft.com/office/drawing/2014/chart" uri="{C3380CC4-5D6E-409C-BE32-E72D297353CC}">
              <c16:uniqueId val="{00000003-0E47-4301-A10D-930197C51FA5}"/>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%'!$G$2319:$G$3654</c:f>
              <c:numCache>
                <c:formatCode>0.00</c:formatCode>
                <c:ptCount val="1336"/>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numCache>
            </c:numRef>
          </c:val>
          <c:extLst>
            <c:ext xmlns:c16="http://schemas.microsoft.com/office/drawing/2014/chart" uri="{C3380CC4-5D6E-409C-BE32-E72D297353CC}">
              <c16:uniqueId val="{00000004-0E47-4301-A10D-930197C51FA5}"/>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%'!$I$2317:$I$3654</c:f>
              <c:numCache>
                <c:formatCode>0.00</c:formatCode>
                <c:ptCount val="1338"/>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numCache>
            </c:numRef>
          </c:val>
          <c:extLst>
            <c:ext xmlns:c16="http://schemas.microsoft.com/office/drawing/2014/chart" uri="{C3380CC4-5D6E-409C-BE32-E72D297353CC}">
              <c16:uniqueId val="{00000005-0E47-4301-A10D-930197C51FA5}"/>
            </c:ext>
          </c:extLst>
        </c:ser>
        <c:dLbls>
          <c:showLegendKey val="0"/>
          <c:showVal val="0"/>
          <c:showCatName val="0"/>
          <c:showSerName val="0"/>
          <c:showPercent val="0"/>
          <c:showBubbleSize val="0"/>
        </c:dLbls>
        <c:gapWidth val="150"/>
        <c:axId val="437729632"/>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%'!$A$2317:$A$3654</c:f>
              <c:numCache>
                <c:formatCode>d/mm/yyyy;@</c:formatCode>
                <c:ptCount val="1338"/>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numCache>
            </c:numRef>
          </c:cat>
          <c:val>
            <c:numRef>
              <c:f>'Creek level production and %'!$K$2317:$K$3654</c:f>
              <c:numCache>
                <c:formatCode>General</c:formatCode>
                <c:ptCount val="1338"/>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numCache>
            </c:numRef>
          </c:val>
          <c:smooth val="0"/>
          <c:extLst>
            <c:ext xmlns:c16="http://schemas.microsoft.com/office/drawing/2014/chart" uri="{C3380CC4-5D6E-409C-BE32-E72D297353CC}">
              <c16:uniqueId val="{00000006-0E47-4301-A10D-930197C51FA5}"/>
            </c:ext>
          </c:extLst>
        </c:ser>
        <c:dLbls>
          <c:showLegendKey val="0"/>
          <c:showVal val="0"/>
          <c:showCatName val="0"/>
          <c:showSerName val="0"/>
          <c:showPercent val="0"/>
          <c:showBubbleSize val="0"/>
        </c:dLbls>
        <c:marker val="1"/>
        <c:smooth val="0"/>
        <c:axId val="3"/>
        <c:axId val="4"/>
      </c:lineChart>
      <c:dateAx>
        <c:axId val="437729632"/>
        <c:scaling>
          <c:orientation val="minMax"/>
          <c:max val="45107"/>
          <c:min val="44197"/>
        </c:scaling>
        <c:delete val="0"/>
        <c:axPos val="b"/>
        <c:title>
          <c:tx>
            <c:rich>
              <a:bodyPr/>
              <a:lstStyle/>
              <a:p>
                <a:pPr>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437729632"/>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a:pPr>
                <a:r>
                  <a:rPr lang="en-US"/>
                  <a:t>Creek Percentage</a:t>
                </a:r>
              </a:p>
            </c:rich>
          </c:tx>
          <c:overlay val="0"/>
        </c:title>
        <c:numFmt formatCode="General" sourceLinked="1"/>
        <c:majorTickMark val="out"/>
        <c:minorTickMark val="none"/>
        <c:tickLblPos val="nextTo"/>
        <c:crossAx val="3"/>
        <c:crosses val="max"/>
        <c:crossBetween val="between"/>
      </c:valAx>
      <c:spPr>
        <a:noFill/>
        <a:ln w="25400">
          <a:noFill/>
        </a:ln>
      </c:spPr>
    </c:plotArea>
    <c:legend>
      <c:legendPos val="l"/>
      <c:layout>
        <c:manualLayout>
          <c:xMode val="edge"/>
          <c:yMode val="edge"/>
          <c:x val="0.12220939119834091"/>
          <c:y val="2.4251625617077291E-2"/>
          <c:w val="0.2339239043562252"/>
          <c:h val="0.16151704576301373"/>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0.31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7.3</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350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0.0028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230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0.011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7.3</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350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230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0.31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0.0028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0.011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673</Words>
  <Characters>3678</Characters>
  <Application>Microsoft Office Word</Application>
  <DocSecurity>0</DocSecurity>
  <Lines>216</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Brian Mahnkopf</cp:lastModifiedBy>
  <cp:revision>3</cp:revision>
  <cp:lastPrinted>2020-04-17T01:08:00Z</cp:lastPrinted>
  <dcterms:created xsi:type="dcterms:W3CDTF">2023-07-13T06:13:00Z</dcterms:created>
  <dcterms:modified xsi:type="dcterms:W3CDTF">2024-06-24T02:04:00Z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