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0C1B3F12"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xml:space="preserve">, </w:t>
      </w:r>
      <w:r>
        <w:rPr>
          <w:rFonts w:ascii="Verdana" w:hAnsi="Verdana"/>
          <w:sz w:val="20"/>
          <w:szCs w:val="24"/>
        </w:rPr>
        <w:t xml:space="preserve">to </w:t>
      </w:r>
      <w:r w:rsidR="005471FF">
        <w:rPr>
          <w:rFonts w:ascii="Verdana" w:hAnsi="Verdana"/>
          <w:sz w:val="20"/>
          <w:szCs w:val="24"/>
        </w:rPr>
        <w:t>Ju</w:t>
      </w:r>
      <w:r w:rsidR="00075AF2">
        <w:rPr>
          <w:rFonts w:ascii="Verdana" w:hAnsi="Verdana"/>
          <w:sz w:val="20"/>
          <w:szCs w:val="24"/>
        </w:rPr>
        <w:t>ly</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01F1F1FD">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37F788CC" w:rsidR="0079732B" w:rsidRDefault="00BA07A1" w:rsidP="0025280D">
      <w:pPr>
        <w:pStyle w:val="Subtitle"/>
        <w:rPr>
          <w:i/>
          <w:sz w:val="20"/>
          <w:szCs w:val="20"/>
        </w:rPr>
      </w:pPr>
      <w:r w:rsidRPr="00BA07A1">
        <w:rPr>
          <w:i/>
          <w:noProof/>
          <w:sz w:val="20"/>
          <w:szCs w:val="20"/>
        </w:rPr>
        <w:drawing>
          <wp:inline distT="0" distB="0" distL="0" distR="0" wp14:anchorId="2E47BA19" wp14:editId="4CACD428">
            <wp:extent cx="6299835" cy="3600450"/>
            <wp:effectExtent l="0" t="0" r="5715" b="0"/>
            <wp:docPr id="77674822" name="Chart 1">
              <a:extLst xmlns:a="http://schemas.openxmlformats.org/drawingml/2006/main">
                <a:ext uri="{FF2B5EF4-FFF2-40B4-BE49-F238E27FC236}">
                  <a16:creationId xmlns:a16="http://schemas.microsoft.com/office/drawing/2014/main" id="{D872B6DF-E947-21A8-653B-AF47DFE23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8F381B">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79308ECB"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5471FF">
      <w:rPr>
        <w:b/>
      </w:rPr>
      <w:t>Ju</w:t>
    </w:r>
    <w:r w:rsidR="00BA07A1">
      <w:rPr>
        <w:b/>
      </w:rPr>
      <w:t>ly</w:t>
    </w:r>
    <w:r w:rsidR="0070529B">
      <w:rPr>
        <w:b/>
      </w:rPr>
      <w:t xml:space="preserve"> </w:t>
    </w:r>
    <w:r w:rsidR="00A77AFD">
      <w:rPr>
        <w:b/>
      </w:rPr>
      <w:t>202</w:t>
    </w:r>
    <w:r w:rsidR="00287B78">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75AF2"/>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0509C"/>
    <w:rsid w:val="00516293"/>
    <w:rsid w:val="005172C2"/>
    <w:rsid w:val="00533C4C"/>
    <w:rsid w:val="005415CA"/>
    <w:rsid w:val="00542928"/>
    <w:rsid w:val="005447BC"/>
    <w:rsid w:val="005471FF"/>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8F381B"/>
    <w:rsid w:val="0090137D"/>
    <w:rsid w:val="00910B8A"/>
    <w:rsid w:val="00912A3B"/>
    <w:rsid w:val="00922BB1"/>
    <w:rsid w:val="00932557"/>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288"/>
    <w:rsid w:val="00B51F55"/>
    <w:rsid w:val="00B66D19"/>
    <w:rsid w:val="00B97458"/>
    <w:rsid w:val="00BA07A1"/>
    <w:rsid w:val="00BD7957"/>
    <w:rsid w:val="00BE3480"/>
    <w:rsid w:val="00BF7545"/>
    <w:rsid w:val="00C1092F"/>
    <w:rsid w:val="00C13682"/>
    <w:rsid w:val="00C23CF8"/>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44036"/>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a:t>
            </a:r>
          </a:p>
          <a:p>
            <a:pPr>
              <a:defRPr sz="1200" b="0" i="0" u="none" strike="noStrike" baseline="0">
                <a:solidFill>
                  <a:srgbClr val="000000"/>
                </a:solidFill>
                <a:latin typeface="Calibri"/>
                <a:ea typeface="Calibri"/>
                <a:cs typeface="Calibri"/>
              </a:defRPr>
            </a:pPr>
            <a:r>
              <a:rPr lang="en-AU"/>
              <a:t>KL of Urbenville &amp; Kyogle town supply used</a:t>
            </a:r>
          </a:p>
        </c:rich>
      </c:tx>
      <c:layout>
        <c:manualLayout>
          <c:xMode val="edge"/>
          <c:yMode val="edge"/>
          <c:x val="0.36467590024183172"/>
          <c:y val="1.873536299765808E-2"/>
        </c:manualLayout>
      </c:layout>
      <c:overlay val="0"/>
    </c:title>
    <c:autoTitleDeleted val="0"/>
    <c:plotArea>
      <c:layout>
        <c:manualLayout>
          <c:layoutTarget val="inner"/>
          <c:xMode val="edge"/>
          <c:yMode val="edge"/>
          <c:x val="0.10507497418583185"/>
          <c:y val="6.5661136249371546E-2"/>
          <c:w val="0.77892214637367485"/>
          <c:h val="0.76370084886930112"/>
        </c:manualLayout>
      </c:layout>
      <c:barChart>
        <c:barDir val="col"/>
        <c:grouping val="clustered"/>
        <c:varyColors val="0"/>
        <c:ser>
          <c:idx val="0"/>
          <c:order val="0"/>
          <c:spPr>
            <a:solidFill>
              <a:srgbClr val="5B9BD5"/>
            </a:solidFill>
            <a:ln w="25400">
              <a:noFill/>
            </a:ln>
          </c:spPr>
          <c:invertIfNegative val="0"/>
          <c:cat>
            <c:numRef>
              <c:f>'Creek level production and %'!$A$2317:$A$4051</c:f>
              <c:numCache>
                <c:formatCode>d/mm/yyyy;@</c:formatCode>
                <c:ptCount val="1735"/>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numCache>
            </c:numRef>
          </c:cat>
          <c:val>
            <c:numRef>
              <c:f>'Creek level production and %'!$C$2317:$C$2662</c:f>
            </c:numRef>
          </c:val>
          <c:extLst>
            <c:ext xmlns:c16="http://schemas.microsoft.com/office/drawing/2014/chart" uri="{C3380CC4-5D6E-409C-BE32-E72D297353CC}">
              <c16:uniqueId val="{00000000-DCFF-496B-845A-EDD63961874B}"/>
            </c:ext>
          </c:extLst>
        </c:ser>
        <c:ser>
          <c:idx val="1"/>
          <c:order val="1"/>
          <c:spPr>
            <a:solidFill>
              <a:srgbClr val="ED7D31"/>
            </a:solidFill>
            <a:ln w="25400">
              <a:noFill/>
            </a:ln>
          </c:spPr>
          <c:invertIfNegative val="0"/>
          <c:cat>
            <c:numRef>
              <c:f>'Creek level production and %'!$A$2317:$A$4051</c:f>
              <c:numCache>
                <c:formatCode>d/mm/yyyy;@</c:formatCode>
                <c:ptCount val="1735"/>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numCache>
            </c:numRef>
          </c:cat>
          <c:val>
            <c:numRef>
              <c:f>'Creek level production and %'!$D$2317:$D$2662</c:f>
            </c:numRef>
          </c:val>
          <c:extLst>
            <c:ext xmlns:c16="http://schemas.microsoft.com/office/drawing/2014/chart" uri="{C3380CC4-5D6E-409C-BE32-E72D297353CC}">
              <c16:uniqueId val="{00000001-DCFF-496B-845A-EDD63961874B}"/>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%'!$A$2317:$A$4051</c:f>
              <c:numCache>
                <c:formatCode>d/mm/yyyy;@</c:formatCode>
                <c:ptCount val="1735"/>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numCache>
            </c:numRef>
          </c:cat>
          <c:val>
            <c:numRef>
              <c:f>'Creek level production and %'!$E$2317:$E$2662</c:f>
            </c:numRef>
          </c:val>
          <c:extLst>
            <c:ext xmlns:c16="http://schemas.microsoft.com/office/drawing/2014/chart" uri="{C3380CC4-5D6E-409C-BE32-E72D297353CC}">
              <c16:uniqueId val="{00000002-DCFF-496B-845A-EDD63961874B}"/>
            </c:ext>
          </c:extLst>
        </c:ser>
        <c:ser>
          <c:idx val="3"/>
          <c:order val="3"/>
          <c:spPr>
            <a:solidFill>
              <a:srgbClr val="00B0F0"/>
            </a:solidFill>
            <a:ln w="25400">
              <a:noFill/>
            </a:ln>
          </c:spPr>
          <c:invertIfNegative val="0"/>
          <c:cat>
            <c:numRef>
              <c:f>'Creek level production and %'!$A$2317:$A$4051</c:f>
              <c:numCache>
                <c:formatCode>d/mm/yyyy;@</c:formatCode>
                <c:ptCount val="1735"/>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numCache>
            </c:numRef>
          </c:cat>
          <c:val>
            <c:numRef>
              <c:f>'Creek level production and %'!$F$2317:$F$2662</c:f>
            </c:numRef>
          </c:val>
          <c:extLst>
            <c:ext xmlns:c16="http://schemas.microsoft.com/office/drawing/2014/chart" uri="{C3380CC4-5D6E-409C-BE32-E72D297353CC}">
              <c16:uniqueId val="{00000003-DCFF-496B-845A-EDD63961874B}"/>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%'!$A$2317:$A$4051</c:f>
              <c:numCache>
                <c:formatCode>d/mm/yyyy;@</c:formatCode>
                <c:ptCount val="1735"/>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numCache>
            </c:numRef>
          </c:cat>
          <c:val>
            <c:numRef>
              <c:f>'Creek level production and %'!$G$2319:$G$4051</c:f>
              <c:numCache>
                <c:formatCode>0.00</c:formatCode>
                <c:ptCount val="1733"/>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pt idx="1611" formatCode="General">
                  <c:v>96</c:v>
                </c:pt>
                <c:pt idx="1612" formatCode="General">
                  <c:v>184</c:v>
                </c:pt>
                <c:pt idx="1613" formatCode="General">
                  <c:v>104</c:v>
                </c:pt>
                <c:pt idx="1614" formatCode="General">
                  <c:v>143</c:v>
                </c:pt>
                <c:pt idx="1615" formatCode="General">
                  <c:v>140</c:v>
                </c:pt>
                <c:pt idx="1616" formatCode="General">
                  <c:v>100</c:v>
                </c:pt>
                <c:pt idx="1617" formatCode="General">
                  <c:v>146</c:v>
                </c:pt>
                <c:pt idx="1618" formatCode="General">
                  <c:v>139</c:v>
                </c:pt>
                <c:pt idx="1619" formatCode="General">
                  <c:v>67</c:v>
                </c:pt>
                <c:pt idx="1620" formatCode="General">
                  <c:v>108</c:v>
                </c:pt>
                <c:pt idx="1621" formatCode="General">
                  <c:v>165</c:v>
                </c:pt>
                <c:pt idx="1622" formatCode="General">
                  <c:v>111</c:v>
                </c:pt>
                <c:pt idx="1623" formatCode="General">
                  <c:v>263</c:v>
                </c:pt>
                <c:pt idx="1624" formatCode="General">
                  <c:v>27</c:v>
                </c:pt>
                <c:pt idx="1625" formatCode="General">
                  <c:v>84</c:v>
                </c:pt>
                <c:pt idx="1626" formatCode="General">
                  <c:v>193</c:v>
                </c:pt>
                <c:pt idx="1627" formatCode="General">
                  <c:v>157</c:v>
                </c:pt>
                <c:pt idx="1628" formatCode="General">
                  <c:v>105</c:v>
                </c:pt>
                <c:pt idx="1629" formatCode="General">
                  <c:v>72</c:v>
                </c:pt>
                <c:pt idx="1630" formatCode="General">
                  <c:v>211</c:v>
                </c:pt>
                <c:pt idx="1631" formatCode="General">
                  <c:v>136</c:v>
                </c:pt>
                <c:pt idx="1632" formatCode="General">
                  <c:v>43</c:v>
                </c:pt>
                <c:pt idx="1633" formatCode="General">
                  <c:v>140</c:v>
                </c:pt>
                <c:pt idx="1634" formatCode="General">
                  <c:v>89</c:v>
                </c:pt>
                <c:pt idx="1635" formatCode="General">
                  <c:v>165</c:v>
                </c:pt>
                <c:pt idx="1636" formatCode="General">
                  <c:v>120</c:v>
                </c:pt>
                <c:pt idx="1637" formatCode="General">
                  <c:v>197</c:v>
                </c:pt>
                <c:pt idx="1638" formatCode="General">
                  <c:v>114</c:v>
                </c:pt>
                <c:pt idx="1639" formatCode="General">
                  <c:v>66</c:v>
                </c:pt>
                <c:pt idx="1640" formatCode="General">
                  <c:v>163</c:v>
                </c:pt>
                <c:pt idx="1641" formatCode="General">
                  <c:v>105</c:v>
                </c:pt>
                <c:pt idx="1642" formatCode="General">
                  <c:v>137</c:v>
                </c:pt>
                <c:pt idx="1643" formatCode="General">
                  <c:v>104</c:v>
                </c:pt>
                <c:pt idx="1644" formatCode="General">
                  <c:v>139</c:v>
                </c:pt>
                <c:pt idx="1645" formatCode="General">
                  <c:v>118</c:v>
                </c:pt>
                <c:pt idx="1646" formatCode="General">
                  <c:v>10</c:v>
                </c:pt>
                <c:pt idx="1647" formatCode="General">
                  <c:v>218</c:v>
                </c:pt>
                <c:pt idx="1648" formatCode="General">
                  <c:v>111</c:v>
                </c:pt>
                <c:pt idx="1649" formatCode="General">
                  <c:v>151</c:v>
                </c:pt>
                <c:pt idx="1650" formatCode="General">
                  <c:v>48</c:v>
                </c:pt>
                <c:pt idx="1651" formatCode="General">
                  <c:v>124</c:v>
                </c:pt>
                <c:pt idx="1652" formatCode="General">
                  <c:v>121</c:v>
                </c:pt>
                <c:pt idx="1653" formatCode="General">
                  <c:v>100</c:v>
                </c:pt>
                <c:pt idx="1654" formatCode="General">
                  <c:v>104</c:v>
                </c:pt>
                <c:pt idx="1655" formatCode="General">
                  <c:v>79</c:v>
                </c:pt>
                <c:pt idx="1656" formatCode="General">
                  <c:v>93</c:v>
                </c:pt>
                <c:pt idx="1657" formatCode="General">
                  <c:v>198</c:v>
                </c:pt>
                <c:pt idx="1658" formatCode="General">
                  <c:v>131</c:v>
                </c:pt>
                <c:pt idx="1659" formatCode="General">
                  <c:v>0</c:v>
                </c:pt>
                <c:pt idx="1660" formatCode="General">
                  <c:v>279</c:v>
                </c:pt>
                <c:pt idx="1661" formatCode="General">
                  <c:v>31</c:v>
                </c:pt>
                <c:pt idx="1662" formatCode="General">
                  <c:v>151</c:v>
                </c:pt>
                <c:pt idx="1663" formatCode="General">
                  <c:v>74</c:v>
                </c:pt>
                <c:pt idx="1664" formatCode="General">
                  <c:v>104</c:v>
                </c:pt>
                <c:pt idx="1665" formatCode="General">
                  <c:v>119</c:v>
                </c:pt>
                <c:pt idx="1666" formatCode="General">
                  <c:v>145</c:v>
                </c:pt>
                <c:pt idx="1667" formatCode="General">
                  <c:v>124</c:v>
                </c:pt>
                <c:pt idx="1668" formatCode="General">
                  <c:v>139</c:v>
                </c:pt>
                <c:pt idx="1669" formatCode="General">
                  <c:v>141</c:v>
                </c:pt>
                <c:pt idx="1670" formatCode="General">
                  <c:v>144</c:v>
                </c:pt>
                <c:pt idx="1671" formatCode="General">
                  <c:v>246</c:v>
                </c:pt>
                <c:pt idx="1672" formatCode="General">
                  <c:v>177</c:v>
                </c:pt>
                <c:pt idx="1673" formatCode="General">
                  <c:v>176</c:v>
                </c:pt>
                <c:pt idx="1674" formatCode="General">
                  <c:v>58</c:v>
                </c:pt>
                <c:pt idx="1675" formatCode="General">
                  <c:v>125</c:v>
                </c:pt>
                <c:pt idx="1676" formatCode="General">
                  <c:v>114</c:v>
                </c:pt>
                <c:pt idx="1677" formatCode="General">
                  <c:v>122</c:v>
                </c:pt>
                <c:pt idx="1678" formatCode="General">
                  <c:v>116</c:v>
                </c:pt>
                <c:pt idx="1679" formatCode="General">
                  <c:v>204</c:v>
                </c:pt>
                <c:pt idx="1680" formatCode="General">
                  <c:v>117</c:v>
                </c:pt>
                <c:pt idx="1681" formatCode="General">
                  <c:v>118</c:v>
                </c:pt>
                <c:pt idx="1682" formatCode="General">
                  <c:v>32</c:v>
                </c:pt>
                <c:pt idx="1683" formatCode="General">
                  <c:v>107</c:v>
                </c:pt>
                <c:pt idx="1684" formatCode="General">
                  <c:v>119</c:v>
                </c:pt>
                <c:pt idx="1685" formatCode="General">
                  <c:v>105</c:v>
                </c:pt>
                <c:pt idx="1686" formatCode="General">
                  <c:v>32</c:v>
                </c:pt>
                <c:pt idx="1687" formatCode="General">
                  <c:v>137</c:v>
                </c:pt>
                <c:pt idx="1688" formatCode="General">
                  <c:v>82</c:v>
                </c:pt>
                <c:pt idx="1689" formatCode="General">
                  <c:v>129</c:v>
                </c:pt>
                <c:pt idx="1690" formatCode="General">
                  <c:v>121</c:v>
                </c:pt>
                <c:pt idx="1691" formatCode="General">
                  <c:v>79</c:v>
                </c:pt>
                <c:pt idx="1692" formatCode="General">
                  <c:v>155</c:v>
                </c:pt>
                <c:pt idx="1693" formatCode="General">
                  <c:v>216</c:v>
                </c:pt>
                <c:pt idx="1694" formatCode="General">
                  <c:v>32</c:v>
                </c:pt>
                <c:pt idx="1695" formatCode="General">
                  <c:v>99</c:v>
                </c:pt>
                <c:pt idx="1696" formatCode="General">
                  <c:v>109</c:v>
                </c:pt>
                <c:pt idx="1697" formatCode="General">
                  <c:v>131</c:v>
                </c:pt>
                <c:pt idx="1698" formatCode="General">
                  <c:v>145</c:v>
                </c:pt>
                <c:pt idx="1699" formatCode="General">
                  <c:v>74</c:v>
                </c:pt>
                <c:pt idx="1700" formatCode="General">
                  <c:v>196</c:v>
                </c:pt>
                <c:pt idx="1701" formatCode="General">
                  <c:v>149</c:v>
                </c:pt>
                <c:pt idx="1702" formatCode="General">
                  <c:v>82</c:v>
                </c:pt>
                <c:pt idx="1703" formatCode="General">
                  <c:v>134</c:v>
                </c:pt>
                <c:pt idx="1704" formatCode="General">
                  <c:v>99</c:v>
                </c:pt>
                <c:pt idx="1705" formatCode="General">
                  <c:v>115</c:v>
                </c:pt>
                <c:pt idx="1706" formatCode="General">
                  <c:v>115</c:v>
                </c:pt>
                <c:pt idx="1707" formatCode="General">
                  <c:v>122</c:v>
                </c:pt>
                <c:pt idx="1708" formatCode="General">
                  <c:v>297</c:v>
                </c:pt>
                <c:pt idx="1709" formatCode="General">
                  <c:v>37</c:v>
                </c:pt>
                <c:pt idx="1710" formatCode="General">
                  <c:v>132</c:v>
                </c:pt>
                <c:pt idx="1711" formatCode="General">
                  <c:v>111</c:v>
                </c:pt>
                <c:pt idx="1712" formatCode="General">
                  <c:v>193</c:v>
                </c:pt>
                <c:pt idx="1713" formatCode="General">
                  <c:v>112</c:v>
                </c:pt>
                <c:pt idx="1714" formatCode="General">
                  <c:v>66</c:v>
                </c:pt>
                <c:pt idx="1715" formatCode="General">
                  <c:v>147</c:v>
                </c:pt>
                <c:pt idx="1716" formatCode="General">
                  <c:v>60</c:v>
                </c:pt>
                <c:pt idx="1717" formatCode="General">
                  <c:v>148</c:v>
                </c:pt>
                <c:pt idx="1718" formatCode="General">
                  <c:v>118</c:v>
                </c:pt>
                <c:pt idx="1719" formatCode="General">
                  <c:v>113</c:v>
                </c:pt>
                <c:pt idx="1720" formatCode="General">
                  <c:v>115</c:v>
                </c:pt>
                <c:pt idx="1721" formatCode="General">
                  <c:v>194</c:v>
                </c:pt>
                <c:pt idx="1722" formatCode="General">
                  <c:v>88</c:v>
                </c:pt>
                <c:pt idx="1723" formatCode="General">
                  <c:v>83</c:v>
                </c:pt>
                <c:pt idx="1724" formatCode="General">
                  <c:v>105</c:v>
                </c:pt>
                <c:pt idx="1725" formatCode="General">
                  <c:v>114</c:v>
                </c:pt>
                <c:pt idx="1726" formatCode="General">
                  <c:v>118</c:v>
                </c:pt>
                <c:pt idx="1727" formatCode="General">
                  <c:v>73</c:v>
                </c:pt>
                <c:pt idx="1728" formatCode="General">
                  <c:v>154</c:v>
                </c:pt>
                <c:pt idx="1729" formatCode="General">
                  <c:v>126</c:v>
                </c:pt>
              </c:numCache>
            </c:numRef>
          </c:val>
          <c:extLst>
            <c:ext xmlns:c16="http://schemas.microsoft.com/office/drawing/2014/chart" uri="{C3380CC4-5D6E-409C-BE32-E72D297353CC}">
              <c16:uniqueId val="{00000004-DCFF-496B-845A-EDD63961874B}"/>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%'!$A$2317:$A$4051</c:f>
              <c:numCache>
                <c:formatCode>d/mm/yyyy;@</c:formatCode>
                <c:ptCount val="1735"/>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numCache>
            </c:numRef>
          </c:cat>
          <c:val>
            <c:numRef>
              <c:f>'Creek level production and %'!$I$2317:$I$4051</c:f>
              <c:numCache>
                <c:formatCode>0.00</c:formatCode>
                <c:ptCount val="1735"/>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pt idx="1613" formatCode="General">
                  <c:v>86</c:v>
                </c:pt>
                <c:pt idx="1614" formatCode="General">
                  <c:v>0</c:v>
                </c:pt>
                <c:pt idx="1615" formatCode="General">
                  <c:v>54</c:v>
                </c:pt>
                <c:pt idx="1616" formatCode="General">
                  <c:v>62</c:v>
                </c:pt>
                <c:pt idx="1617" formatCode="General">
                  <c:v>29</c:v>
                </c:pt>
                <c:pt idx="1618" formatCode="General">
                  <c:v>30</c:v>
                </c:pt>
                <c:pt idx="1619" formatCode="General">
                  <c:v>0</c:v>
                </c:pt>
                <c:pt idx="1620" formatCode="General">
                  <c:v>0</c:v>
                </c:pt>
                <c:pt idx="1621" formatCode="General">
                  <c:v>137</c:v>
                </c:pt>
                <c:pt idx="1622" formatCode="General">
                  <c:v>221</c:v>
                </c:pt>
                <c:pt idx="1623" formatCode="General">
                  <c:v>0</c:v>
                </c:pt>
                <c:pt idx="1624" formatCode="General">
                  <c:v>113</c:v>
                </c:pt>
                <c:pt idx="1625" formatCode="General">
                  <c:v>0</c:v>
                </c:pt>
                <c:pt idx="1626" formatCode="General">
                  <c:v>67</c:v>
                </c:pt>
                <c:pt idx="1627" formatCode="General">
                  <c:v>91</c:v>
                </c:pt>
                <c:pt idx="1628" formatCode="General">
                  <c:v>0</c:v>
                </c:pt>
                <c:pt idx="1629" formatCode="General">
                  <c:v>37</c:v>
                </c:pt>
                <c:pt idx="1630" formatCode="General">
                  <c:v>67</c:v>
                </c:pt>
                <c:pt idx="1631" formatCode="General">
                  <c:v>39</c:v>
                </c:pt>
                <c:pt idx="1632" formatCode="General">
                  <c:v>0</c:v>
                </c:pt>
                <c:pt idx="1633" formatCode="General">
                  <c:v>0</c:v>
                </c:pt>
                <c:pt idx="1634" formatCode="General">
                  <c:v>137</c:v>
                </c:pt>
                <c:pt idx="1635" formatCode="General">
                  <c:v>0</c:v>
                </c:pt>
                <c:pt idx="1636" formatCode="General">
                  <c:v>0</c:v>
                </c:pt>
                <c:pt idx="1637" formatCode="General">
                  <c:v>91</c:v>
                </c:pt>
                <c:pt idx="1638" formatCode="General">
                  <c:v>47</c:v>
                </c:pt>
                <c:pt idx="1639" formatCode="General">
                  <c:v>0</c:v>
                </c:pt>
                <c:pt idx="1640" formatCode="General">
                  <c:v>61</c:v>
                </c:pt>
                <c:pt idx="1641" formatCode="General">
                  <c:v>73</c:v>
                </c:pt>
                <c:pt idx="1642" formatCode="General">
                  <c:v>14</c:v>
                </c:pt>
                <c:pt idx="1643" formatCode="General">
                  <c:v>15</c:v>
                </c:pt>
                <c:pt idx="1644" formatCode="General">
                  <c:v>0</c:v>
                </c:pt>
                <c:pt idx="1645" formatCode="General">
                  <c:v>30</c:v>
                </c:pt>
                <c:pt idx="1646" formatCode="General">
                  <c:v>0</c:v>
                </c:pt>
                <c:pt idx="1647" formatCode="General">
                  <c:v>15</c:v>
                </c:pt>
                <c:pt idx="1648" formatCode="General">
                  <c:v>309</c:v>
                </c:pt>
                <c:pt idx="1649" formatCode="General">
                  <c:v>0</c:v>
                </c:pt>
                <c:pt idx="1650" formatCode="General">
                  <c:v>0</c:v>
                </c:pt>
                <c:pt idx="1651" formatCode="General">
                  <c:v>0</c:v>
                </c:pt>
                <c:pt idx="1652" formatCode="General">
                  <c:v>69</c:v>
                </c:pt>
                <c:pt idx="1653" formatCode="General">
                  <c:v>0</c:v>
                </c:pt>
                <c:pt idx="1654" formatCode="General">
                  <c:v>0</c:v>
                </c:pt>
                <c:pt idx="1655" formatCode="General">
                  <c:v>0</c:v>
                </c:pt>
                <c:pt idx="1656" formatCode="General">
                  <c:v>0</c:v>
                </c:pt>
                <c:pt idx="1657" formatCode="General">
                  <c:v>118</c:v>
                </c:pt>
                <c:pt idx="1658" formatCode="General">
                  <c:v>6</c:v>
                </c:pt>
                <c:pt idx="1659" formatCode="General">
                  <c:v>0</c:v>
                </c:pt>
                <c:pt idx="1660" formatCode="General">
                  <c:v>12</c:v>
                </c:pt>
                <c:pt idx="1661" formatCode="General">
                  <c:v>117</c:v>
                </c:pt>
                <c:pt idx="1662" formatCode="General">
                  <c:v>0</c:v>
                </c:pt>
                <c:pt idx="1663" formatCode="General">
                  <c:v>43</c:v>
                </c:pt>
                <c:pt idx="1664" formatCode="General">
                  <c:v>0</c:v>
                </c:pt>
                <c:pt idx="1665" formatCode="General">
                  <c:v>5</c:v>
                </c:pt>
                <c:pt idx="1666" formatCode="General">
                  <c:v>18</c:v>
                </c:pt>
                <c:pt idx="1667" formatCode="General">
                  <c:v>0</c:v>
                </c:pt>
                <c:pt idx="1668" formatCode="General">
                  <c:v>0</c:v>
                </c:pt>
                <c:pt idx="1669" formatCode="General">
                  <c:v>13</c:v>
                </c:pt>
                <c:pt idx="1670" formatCode="General">
                  <c:v>0</c:v>
                </c:pt>
                <c:pt idx="1671" formatCode="General">
                  <c:v>0</c:v>
                </c:pt>
                <c:pt idx="1672" formatCode="General">
                  <c:v>13</c:v>
                </c:pt>
                <c:pt idx="1673" formatCode="General">
                  <c:v>0</c:v>
                </c:pt>
                <c:pt idx="1674" formatCode="General">
                  <c:v>0</c:v>
                </c:pt>
                <c:pt idx="1675" formatCode="General">
                  <c:v>0</c:v>
                </c:pt>
                <c:pt idx="1676" formatCode="General">
                  <c:v>16</c:v>
                </c:pt>
                <c:pt idx="1677" formatCode="General">
                  <c:v>0</c:v>
                </c:pt>
                <c:pt idx="1678" formatCode="General">
                  <c:v>0</c:v>
                </c:pt>
                <c:pt idx="1679" formatCode="General">
                  <c:v>0</c:v>
                </c:pt>
                <c:pt idx="1680" formatCode="General">
                  <c:v>0</c:v>
                </c:pt>
                <c:pt idx="1681" formatCode="General">
                  <c:v>132</c:v>
                </c:pt>
                <c:pt idx="1682" formatCode="General">
                  <c:v>19</c:v>
                </c:pt>
                <c:pt idx="1683" formatCode="General">
                  <c:v>66</c:v>
                </c:pt>
                <c:pt idx="1684" formatCode="General">
                  <c:v>16</c:v>
                </c:pt>
                <c:pt idx="1685" formatCode="General">
                  <c:v>36</c:v>
                </c:pt>
                <c:pt idx="1686" formatCode="General">
                  <c:v>77</c:v>
                </c:pt>
                <c:pt idx="1687" formatCode="General">
                  <c:v>16</c:v>
                </c:pt>
                <c:pt idx="1688" formatCode="General">
                  <c:v>10</c:v>
                </c:pt>
                <c:pt idx="1689" formatCode="General">
                  <c:v>42</c:v>
                </c:pt>
                <c:pt idx="1690" formatCode="General">
                  <c:v>34</c:v>
                </c:pt>
                <c:pt idx="1691" formatCode="General">
                  <c:v>14</c:v>
                </c:pt>
                <c:pt idx="1692" formatCode="General">
                  <c:v>51</c:v>
                </c:pt>
                <c:pt idx="1693" formatCode="General">
                  <c:v>38</c:v>
                </c:pt>
                <c:pt idx="1694" formatCode="General">
                  <c:v>32</c:v>
                </c:pt>
                <c:pt idx="1695" formatCode="General">
                  <c:v>76</c:v>
                </c:pt>
                <c:pt idx="1696" formatCode="General">
                  <c:v>28</c:v>
                </c:pt>
                <c:pt idx="1697" formatCode="General">
                  <c:v>28</c:v>
                </c:pt>
                <c:pt idx="1698" formatCode="General">
                  <c:v>61</c:v>
                </c:pt>
                <c:pt idx="1699" formatCode="General">
                  <c:v>20</c:v>
                </c:pt>
                <c:pt idx="1700" formatCode="General">
                  <c:v>71</c:v>
                </c:pt>
                <c:pt idx="1701" formatCode="General">
                  <c:v>71</c:v>
                </c:pt>
                <c:pt idx="1702" formatCode="General">
                  <c:v>49</c:v>
                </c:pt>
                <c:pt idx="1703" formatCode="General">
                  <c:v>28</c:v>
                </c:pt>
                <c:pt idx="1704" formatCode="General">
                  <c:v>0</c:v>
                </c:pt>
                <c:pt idx="1705" formatCode="General">
                  <c:v>0</c:v>
                </c:pt>
                <c:pt idx="1706" formatCode="General">
                  <c:v>0</c:v>
                </c:pt>
                <c:pt idx="1707" formatCode="General">
                  <c:v>0</c:v>
                </c:pt>
                <c:pt idx="1708" formatCode="General">
                  <c:v>0</c:v>
                </c:pt>
                <c:pt idx="1709" formatCode="General">
                  <c:v>95</c:v>
                </c:pt>
                <c:pt idx="1710" formatCode="General">
                  <c:v>0</c:v>
                </c:pt>
                <c:pt idx="1711" formatCode="General">
                  <c:v>0</c:v>
                </c:pt>
                <c:pt idx="1712" formatCode="General">
                  <c:v>64</c:v>
                </c:pt>
                <c:pt idx="1713" formatCode="General">
                  <c:v>0</c:v>
                </c:pt>
                <c:pt idx="1714" formatCode="General">
                  <c:v>0</c:v>
                </c:pt>
                <c:pt idx="1715" formatCode="General">
                  <c:v>0</c:v>
                </c:pt>
                <c:pt idx="1716" formatCode="General">
                  <c:v>0</c:v>
                </c:pt>
                <c:pt idx="1717" formatCode="General">
                  <c:v>0</c:v>
                </c:pt>
                <c:pt idx="1718" formatCode="General">
                  <c:v>0</c:v>
                </c:pt>
                <c:pt idx="1719" formatCode="General">
                  <c:v>0</c:v>
                </c:pt>
                <c:pt idx="1720" formatCode="General">
                  <c:v>0</c:v>
                </c:pt>
                <c:pt idx="1721" formatCode="General">
                  <c:v>0</c:v>
                </c:pt>
                <c:pt idx="1722" formatCode="General">
                  <c:v>0</c:v>
                </c:pt>
                <c:pt idx="1723" formatCode="General">
                  <c:v>0</c:v>
                </c:pt>
                <c:pt idx="1724" formatCode="General">
                  <c:v>0</c:v>
                </c:pt>
                <c:pt idx="1725" formatCode="General">
                  <c:v>0</c:v>
                </c:pt>
                <c:pt idx="1726" formatCode="General">
                  <c:v>0</c:v>
                </c:pt>
                <c:pt idx="1727" formatCode="General">
                  <c:v>0</c:v>
                </c:pt>
                <c:pt idx="1728" formatCode="General">
                  <c:v>0</c:v>
                </c:pt>
                <c:pt idx="1729" formatCode="General">
                  <c:v>0</c:v>
                </c:pt>
                <c:pt idx="1730" formatCode="General">
                  <c:v>0</c:v>
                </c:pt>
                <c:pt idx="1731" formatCode="General">
                  <c:v>0</c:v>
                </c:pt>
              </c:numCache>
            </c:numRef>
          </c:val>
          <c:extLst>
            <c:ext xmlns:c16="http://schemas.microsoft.com/office/drawing/2014/chart" uri="{C3380CC4-5D6E-409C-BE32-E72D297353CC}">
              <c16:uniqueId val="{00000005-DCFF-496B-845A-EDD63961874B}"/>
            </c:ext>
          </c:extLst>
        </c:ser>
        <c:dLbls>
          <c:showLegendKey val="0"/>
          <c:showVal val="0"/>
          <c:showCatName val="0"/>
          <c:showSerName val="0"/>
          <c:showPercent val="0"/>
          <c:showBubbleSize val="0"/>
        </c:dLbls>
        <c:gapWidth val="150"/>
        <c:axId val="50667477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%'!$A$2317:$A$4051</c:f>
              <c:numCache>
                <c:formatCode>d/mm/yyyy;@</c:formatCode>
                <c:ptCount val="1735"/>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numCache>
            </c:numRef>
          </c:cat>
          <c:val>
            <c:numRef>
              <c:f>'Creek level production and %'!$K$2317:$K$4051</c:f>
              <c:numCache>
                <c:formatCode>General</c:formatCode>
                <c:ptCount val="1735"/>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pt idx="1613">
                  <c:v>100</c:v>
                </c:pt>
                <c:pt idx="1614">
                  <c:v>100</c:v>
                </c:pt>
                <c:pt idx="1615">
                  <c:v>100</c:v>
                </c:pt>
                <c:pt idx="1616">
                  <c:v>100</c:v>
                </c:pt>
                <c:pt idx="1617">
                  <c:v>100</c:v>
                </c:pt>
                <c:pt idx="1618">
                  <c:v>100</c:v>
                </c:pt>
                <c:pt idx="1619">
                  <c:v>100</c:v>
                </c:pt>
                <c:pt idx="1620">
                  <c:v>100</c:v>
                </c:pt>
                <c:pt idx="1621">
                  <c:v>100</c:v>
                </c:pt>
                <c:pt idx="1622">
                  <c:v>100</c:v>
                </c:pt>
                <c:pt idx="1623">
                  <c:v>100</c:v>
                </c:pt>
                <c:pt idx="1624">
                  <c:v>100</c:v>
                </c:pt>
                <c:pt idx="1625">
                  <c:v>100</c:v>
                </c:pt>
                <c:pt idx="1626">
                  <c:v>100</c:v>
                </c:pt>
                <c:pt idx="1627">
                  <c:v>100</c:v>
                </c:pt>
                <c:pt idx="1628">
                  <c:v>100</c:v>
                </c:pt>
                <c:pt idx="1629">
                  <c:v>100</c:v>
                </c:pt>
                <c:pt idx="1630">
                  <c:v>100</c:v>
                </c:pt>
                <c:pt idx="1631">
                  <c:v>100</c:v>
                </c:pt>
                <c:pt idx="1632">
                  <c:v>100</c:v>
                </c:pt>
                <c:pt idx="1633">
                  <c:v>100</c:v>
                </c:pt>
                <c:pt idx="1634">
                  <c:v>100</c:v>
                </c:pt>
                <c:pt idx="1635">
                  <c:v>100</c:v>
                </c:pt>
                <c:pt idx="1636">
                  <c:v>100</c:v>
                </c:pt>
                <c:pt idx="1637">
                  <c:v>100</c:v>
                </c:pt>
                <c:pt idx="1638">
                  <c:v>100</c:v>
                </c:pt>
                <c:pt idx="1639">
                  <c:v>100</c:v>
                </c:pt>
                <c:pt idx="1640">
                  <c:v>100</c:v>
                </c:pt>
                <c:pt idx="1641">
                  <c:v>100</c:v>
                </c:pt>
                <c:pt idx="1642">
                  <c:v>100</c:v>
                </c:pt>
                <c:pt idx="1643">
                  <c:v>100</c:v>
                </c:pt>
                <c:pt idx="1644">
                  <c:v>100</c:v>
                </c:pt>
                <c:pt idx="1645">
                  <c:v>100</c:v>
                </c:pt>
                <c:pt idx="1646">
                  <c:v>100</c:v>
                </c:pt>
                <c:pt idx="1647">
                  <c:v>100</c:v>
                </c:pt>
                <c:pt idx="1648">
                  <c:v>100</c:v>
                </c:pt>
                <c:pt idx="1649">
                  <c:v>100</c:v>
                </c:pt>
                <c:pt idx="1650">
                  <c:v>100</c:v>
                </c:pt>
                <c:pt idx="1651">
                  <c:v>100</c:v>
                </c:pt>
                <c:pt idx="1652">
                  <c:v>100</c:v>
                </c:pt>
                <c:pt idx="1653">
                  <c:v>100</c:v>
                </c:pt>
                <c:pt idx="1654">
                  <c:v>100</c:v>
                </c:pt>
                <c:pt idx="1655">
                  <c:v>100</c:v>
                </c:pt>
                <c:pt idx="1656">
                  <c:v>100</c:v>
                </c:pt>
                <c:pt idx="1657">
                  <c:v>100</c:v>
                </c:pt>
                <c:pt idx="1658">
                  <c:v>100</c:v>
                </c:pt>
                <c:pt idx="1659">
                  <c:v>100</c:v>
                </c:pt>
                <c:pt idx="1660">
                  <c:v>100</c:v>
                </c:pt>
                <c:pt idx="1661">
                  <c:v>100</c:v>
                </c:pt>
                <c:pt idx="1662">
                  <c:v>100</c:v>
                </c:pt>
                <c:pt idx="1663">
                  <c:v>100</c:v>
                </c:pt>
                <c:pt idx="1664">
                  <c:v>100</c:v>
                </c:pt>
                <c:pt idx="1665">
                  <c:v>100</c:v>
                </c:pt>
                <c:pt idx="1666">
                  <c:v>100</c:v>
                </c:pt>
                <c:pt idx="1667">
                  <c:v>100</c:v>
                </c:pt>
                <c:pt idx="1668">
                  <c:v>100</c:v>
                </c:pt>
                <c:pt idx="1669">
                  <c:v>100</c:v>
                </c:pt>
                <c:pt idx="1670">
                  <c:v>100</c:v>
                </c:pt>
                <c:pt idx="1671">
                  <c:v>100</c:v>
                </c:pt>
                <c:pt idx="1672">
                  <c:v>100</c:v>
                </c:pt>
                <c:pt idx="1673">
                  <c:v>100</c:v>
                </c:pt>
                <c:pt idx="1674">
                  <c:v>100</c:v>
                </c:pt>
                <c:pt idx="1675">
                  <c:v>100</c:v>
                </c:pt>
                <c:pt idx="1676">
                  <c:v>100</c:v>
                </c:pt>
                <c:pt idx="1677">
                  <c:v>100</c:v>
                </c:pt>
                <c:pt idx="1678">
                  <c:v>100</c:v>
                </c:pt>
                <c:pt idx="1679">
                  <c:v>100</c:v>
                </c:pt>
                <c:pt idx="1680">
                  <c:v>100</c:v>
                </c:pt>
                <c:pt idx="1681">
                  <c:v>100</c:v>
                </c:pt>
                <c:pt idx="1682">
                  <c:v>100</c:v>
                </c:pt>
                <c:pt idx="1683">
                  <c:v>100</c:v>
                </c:pt>
                <c:pt idx="1684">
                  <c:v>100</c:v>
                </c:pt>
                <c:pt idx="1685">
                  <c:v>100</c:v>
                </c:pt>
                <c:pt idx="1686">
                  <c:v>100</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100</c:v>
                </c:pt>
                <c:pt idx="1712">
                  <c:v>100</c:v>
                </c:pt>
                <c:pt idx="1713">
                  <c:v>100</c:v>
                </c:pt>
                <c:pt idx="1714">
                  <c:v>100</c:v>
                </c:pt>
                <c:pt idx="1715">
                  <c:v>100</c:v>
                </c:pt>
                <c:pt idx="1716">
                  <c:v>100</c:v>
                </c:pt>
                <c:pt idx="1717">
                  <c:v>100</c:v>
                </c:pt>
                <c:pt idx="1718">
                  <c:v>100</c:v>
                </c:pt>
                <c:pt idx="1719">
                  <c:v>100</c:v>
                </c:pt>
                <c:pt idx="1720">
                  <c:v>100</c:v>
                </c:pt>
                <c:pt idx="1721">
                  <c:v>100</c:v>
                </c:pt>
                <c:pt idx="1722">
                  <c:v>100</c:v>
                </c:pt>
                <c:pt idx="1723">
                  <c:v>100</c:v>
                </c:pt>
                <c:pt idx="1724">
                  <c:v>100</c:v>
                </c:pt>
                <c:pt idx="1725">
                  <c:v>100</c:v>
                </c:pt>
                <c:pt idx="1726">
                  <c:v>100</c:v>
                </c:pt>
                <c:pt idx="1727">
                  <c:v>100</c:v>
                </c:pt>
                <c:pt idx="1728">
                  <c:v>100</c:v>
                </c:pt>
                <c:pt idx="1729">
                  <c:v>100</c:v>
                </c:pt>
                <c:pt idx="1730">
                  <c:v>100</c:v>
                </c:pt>
                <c:pt idx="1731">
                  <c:v>100</c:v>
                </c:pt>
              </c:numCache>
            </c:numRef>
          </c:val>
          <c:smooth val="0"/>
          <c:extLst>
            <c:ext xmlns:c16="http://schemas.microsoft.com/office/drawing/2014/chart" uri="{C3380CC4-5D6E-409C-BE32-E72D297353CC}">
              <c16:uniqueId val="{00000006-DCFF-496B-845A-EDD63961874B}"/>
            </c:ext>
          </c:extLst>
        </c:ser>
        <c:dLbls>
          <c:showLegendKey val="0"/>
          <c:showVal val="0"/>
          <c:showCatName val="0"/>
          <c:showSerName val="0"/>
          <c:showPercent val="0"/>
          <c:showBubbleSize val="0"/>
        </c:dLbls>
        <c:marker val="1"/>
        <c:smooth val="0"/>
        <c:axId val="3"/>
        <c:axId val="4"/>
      </c:lineChart>
      <c:dateAx>
        <c:axId val="506674776"/>
        <c:scaling>
          <c:orientation val="minMax"/>
          <c:max val="45504"/>
          <c:min val="45107"/>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0667477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9.2567345017766298E-2"/>
          <c:y val="2.4251690760877111E-2"/>
          <c:w val="0.29134255103506679"/>
          <c:h val="0.14897146053464627"/>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0.07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373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1.1</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254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0.010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7.7</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custLinFactNeighborX="467" custLinFactNeighborY="2002">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7.7</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373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254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31583" y="267553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0.07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99668" y="2675532"/>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0.010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1.1</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cp:lastModifiedBy>
  <cp:revision>3</cp:revision>
  <cp:lastPrinted>2020-04-17T01:08:00Z</cp:lastPrinted>
  <dcterms:created xsi:type="dcterms:W3CDTF">2024-08-10T06:59:00Z</dcterms:created>
  <dcterms:modified xsi:type="dcterms:W3CDTF">2024-10-14T01:17:00Z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