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w:t>
      </w:r>
      <w:proofErr w:type="spellStart"/>
      <w:r w:rsidR="00EF0694">
        <w:rPr>
          <w:rFonts w:ascii="Verdana" w:hAnsi="Verdana"/>
          <w:sz w:val="20"/>
          <w:szCs w:val="24"/>
        </w:rPr>
        <w:t>Muli</w:t>
      </w:r>
      <w:proofErr w:type="spellEnd"/>
      <w:r w:rsidR="00EF0694">
        <w:rPr>
          <w:rFonts w:ascii="Verdana" w:hAnsi="Verdana"/>
          <w:sz w:val="20"/>
          <w:szCs w:val="24"/>
        </w:rPr>
        <w:t xml:space="preserve">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3CEE7533" w:rsidR="00BD7957" w:rsidRPr="004A3AC2" w:rsidRDefault="00AA00F8" w:rsidP="00BD7957">
      <w:pPr>
        <w:spacing w:after="240" w:line="240" w:lineRule="auto"/>
        <w:rPr>
          <w:rFonts w:ascii="Verdana" w:hAnsi="Verdana"/>
          <w:sz w:val="20"/>
          <w:szCs w:val="24"/>
        </w:rPr>
      </w:pPr>
      <w:r>
        <w:rPr>
          <w:rFonts w:ascii="Verdana" w:hAnsi="Verdana"/>
          <w:sz w:val="20"/>
          <w:szCs w:val="24"/>
        </w:rPr>
        <w:t>A dry spell from October</w:t>
      </w:r>
      <w:r w:rsidR="000962C7">
        <w:rPr>
          <w:rFonts w:ascii="Verdana" w:hAnsi="Verdana"/>
          <w:sz w:val="20"/>
          <w:szCs w:val="24"/>
        </w:rPr>
        <w:t xml:space="preserve"> </w:t>
      </w:r>
      <w:r w:rsidR="00BD7957">
        <w:rPr>
          <w:rFonts w:ascii="Verdana" w:hAnsi="Verdana"/>
          <w:sz w:val="20"/>
          <w:szCs w:val="24"/>
        </w:rPr>
        <w:t>202</w:t>
      </w:r>
      <w:r>
        <w:rPr>
          <w:rFonts w:ascii="Verdana" w:hAnsi="Verdana"/>
          <w:sz w:val="20"/>
          <w:szCs w:val="24"/>
        </w:rPr>
        <w:t>3</w:t>
      </w:r>
      <w:r w:rsidR="00135838">
        <w:rPr>
          <w:rFonts w:ascii="Verdana" w:hAnsi="Verdana"/>
          <w:sz w:val="20"/>
          <w:szCs w:val="24"/>
        </w:rPr>
        <w:t xml:space="preserve"> and December 202</w:t>
      </w:r>
      <w:r>
        <w:rPr>
          <w:rFonts w:ascii="Verdana" w:hAnsi="Verdana"/>
          <w:sz w:val="20"/>
          <w:szCs w:val="24"/>
        </w:rPr>
        <w:t>3 saw a dip in creek levels from</w:t>
      </w:r>
      <w:r w:rsidR="00A322C7">
        <w:rPr>
          <w:rFonts w:ascii="Verdana" w:hAnsi="Verdana"/>
          <w:sz w:val="20"/>
          <w:szCs w:val="24"/>
        </w:rPr>
        <w:t xml:space="preserve"> January 202</w:t>
      </w:r>
      <w:r>
        <w:rPr>
          <w:rFonts w:ascii="Verdana" w:hAnsi="Verdana"/>
          <w:sz w:val="20"/>
          <w:szCs w:val="24"/>
        </w:rPr>
        <w:t>4</w:t>
      </w:r>
      <w:r w:rsidR="0095380E">
        <w:rPr>
          <w:rFonts w:ascii="Verdana" w:hAnsi="Verdana"/>
          <w:sz w:val="20"/>
          <w:szCs w:val="24"/>
        </w:rPr>
        <w:t>, a</w:t>
      </w:r>
      <w:r>
        <w:rPr>
          <w:rFonts w:ascii="Verdana" w:hAnsi="Verdana"/>
          <w:sz w:val="20"/>
          <w:szCs w:val="24"/>
        </w:rPr>
        <w:t xml:space="preserve">n increase </w:t>
      </w:r>
      <w:r w:rsidR="0095380E">
        <w:rPr>
          <w:rFonts w:ascii="Verdana" w:hAnsi="Verdana"/>
          <w:sz w:val="20"/>
          <w:szCs w:val="24"/>
        </w:rPr>
        <w:t>in rainfall</w:t>
      </w:r>
      <w:r w:rsidR="00135838">
        <w:rPr>
          <w:rFonts w:ascii="Verdana" w:hAnsi="Verdana"/>
          <w:sz w:val="20"/>
          <w:szCs w:val="24"/>
        </w:rPr>
        <w:t>.</w:t>
      </w:r>
      <w:r w:rsidR="00BD7957" w:rsidRPr="004A3AC2">
        <w:rPr>
          <w:rFonts w:ascii="Verdana" w:hAnsi="Verdana"/>
          <w:sz w:val="20"/>
          <w:szCs w:val="24"/>
        </w:rPr>
        <w:t xml:space="preserve"> As a </w:t>
      </w:r>
      <w:r w:rsidR="00F8391A"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5891FBD3">
            <wp:extent cx="3839871" cy="2880000"/>
            <wp:effectExtent l="99060" t="91440" r="88265" b="882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839871" cy="28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w:t>
      </w:r>
      <w:proofErr w:type="spellStart"/>
      <w:r w:rsidR="000B45E7">
        <w:t>Tooloom</w:t>
      </w:r>
      <w:proofErr w:type="spellEnd"/>
      <w:r w:rsidR="000B45E7">
        <w:t xml:space="preserve"> Creek and </w:t>
      </w:r>
      <w:r w:rsidRPr="002B09F3">
        <w:t xml:space="preserve">over the </w:t>
      </w:r>
      <w:proofErr w:type="spellStart"/>
      <w:r>
        <w:t>Tooloom</w:t>
      </w:r>
      <w:proofErr w:type="spellEnd"/>
      <w:r>
        <w:t xml:space="preserve">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lastRenderedPageBreak/>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lastRenderedPageBreak/>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790E2C">
          <w:headerReference w:type="default" r:id="rId16"/>
          <w:pgSz w:w="11906" w:h="16838" w:code="9"/>
          <w:pgMar w:top="1440" w:right="707"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562BA63D">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2637A755" w:rsidR="004A3AC2" w:rsidRDefault="00790E2C" w:rsidP="00EB21EE">
      <w:pPr>
        <w:pStyle w:val="Heading1"/>
        <w:rPr>
          <w:b/>
        </w:rPr>
      </w:pPr>
      <w:r w:rsidRPr="00790E2C">
        <w:rPr>
          <w:i/>
          <w:sz w:val="20"/>
          <w:szCs w:val="20"/>
        </w:rPr>
        <w:lastRenderedPageBreak/>
        <w:drawing>
          <wp:inline distT="0" distB="0" distL="0" distR="0" wp14:anchorId="401B2A6A" wp14:editId="4DFEA435">
            <wp:extent cx="6299835" cy="3629025"/>
            <wp:effectExtent l="0" t="0" r="5715" b="9525"/>
            <wp:docPr id="1" name="Chart 1">
              <a:extLst xmlns:a="http://schemas.openxmlformats.org/drawingml/2006/main">
                <a:ext uri="{FF2B5EF4-FFF2-40B4-BE49-F238E27FC236}">
                  <a16:creationId xmlns:a16="http://schemas.microsoft.com/office/drawing/2014/main" id="{83D6B46F-BDFA-77CF-ED33-47D1785084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6A063A" w14:textId="54356806" w:rsidR="0079732B" w:rsidRDefault="0079732B" w:rsidP="0025280D">
      <w:pPr>
        <w:pStyle w:val="Subtitle"/>
        <w:rPr>
          <w:i/>
          <w:sz w:val="20"/>
          <w:szCs w:val="20"/>
        </w:rPr>
      </w:pP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790E2C">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MS Gothic"/>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03A6C2EE" w14:textId="28A73404" w:rsidR="00287B78" w:rsidRPr="00287B78" w:rsidRDefault="009808C2" w:rsidP="00287B78">
    <w:pPr>
      <w:pStyle w:val="Heading1"/>
      <w:jc w:val="center"/>
      <w:rPr>
        <w:b/>
      </w:rPr>
    </w:pPr>
    <w:r w:rsidRPr="00EB21EE">
      <w:rPr>
        <w:b/>
      </w:rPr>
      <w:t>Snap</w:t>
    </w:r>
    <w:r w:rsidR="00EB21EE" w:rsidRPr="00EB21EE">
      <w:rPr>
        <w:b/>
      </w:rPr>
      <w:t>shot of Current Drinking Water H</w:t>
    </w:r>
    <w:r w:rsidRPr="00EB21EE">
      <w:rPr>
        <w:b/>
      </w:rPr>
      <w:t>ealth –</w:t>
    </w:r>
    <w:r w:rsidR="00790E2C">
      <w:rPr>
        <w:b/>
      </w:rPr>
      <w:t xml:space="preserve">December 2023 to January </w:t>
    </w:r>
    <w:r w:rsidR="00A77AFD">
      <w:rPr>
        <w:b/>
      </w:rPr>
      <w:t>202</w:t>
    </w:r>
    <w:r w:rsidR="00287B78">
      <w:rPr>
        <w:b/>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3329567">
    <w:abstractNumId w:val="3"/>
  </w:num>
  <w:num w:numId="2" w16cid:durableId="858348678">
    <w:abstractNumId w:val="1"/>
  </w:num>
  <w:num w:numId="3" w16cid:durableId="2146267896">
    <w:abstractNumId w:val="0"/>
  </w:num>
  <w:num w:numId="4" w16cid:durableId="795563381">
    <w:abstractNumId w:val="2"/>
  </w:num>
  <w:num w:numId="5" w16cid:durableId="668411736">
    <w:abstractNumId w:val="4"/>
  </w:num>
  <w:num w:numId="6" w16cid:durableId="1502239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87B78"/>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13D4A"/>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0E2C"/>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A00F8"/>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Copy%20of%20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0" u="none" strike="noStrike" baseline="0">
                <a:solidFill>
                  <a:srgbClr val="000000"/>
                </a:solidFill>
                <a:latin typeface="Calibri"/>
                <a:ea typeface="Calibri"/>
                <a:cs typeface="Calibri"/>
              </a:defRPr>
            </a:pPr>
            <a:r>
              <a:rPr lang="en-AU"/>
              <a:t>Creek volume % v's </a:t>
            </a:r>
          </a:p>
          <a:p>
            <a:pPr>
              <a:defRPr sz="1200" b="0" i="0" u="none" strike="noStrike" baseline="0">
                <a:solidFill>
                  <a:srgbClr val="000000"/>
                </a:solidFill>
                <a:latin typeface="Calibri"/>
                <a:ea typeface="Calibri"/>
                <a:cs typeface="Calibri"/>
              </a:defRPr>
            </a:pPr>
            <a:r>
              <a:rPr lang="en-AU"/>
              <a:t>KL of Urbenville &amp; Kyogle town supply used</a:t>
            </a:r>
          </a:p>
        </c:rich>
      </c:tx>
      <c:layout>
        <c:manualLayout>
          <c:xMode val="edge"/>
          <c:yMode val="edge"/>
          <c:x val="0.34250071628860124"/>
          <c:y val="2.0997375328083989E-2"/>
        </c:manualLayout>
      </c:layout>
      <c:overlay val="0"/>
    </c:title>
    <c:autoTitleDeleted val="0"/>
    <c:plotArea>
      <c:layout>
        <c:manualLayout>
          <c:layoutTarget val="inner"/>
          <c:xMode val="edge"/>
          <c:yMode val="edge"/>
          <c:x val="8.5014924994067306E-2"/>
          <c:y val="6.5661136249371546E-2"/>
          <c:w val="0.82907425353203679"/>
          <c:h val="0.74840763014859379"/>
        </c:manualLayout>
      </c:layout>
      <c:barChart>
        <c:barDir val="col"/>
        <c:grouping val="clustered"/>
        <c:varyColors val="0"/>
        <c:ser>
          <c:idx val="0"/>
          <c:order val="0"/>
          <c:spPr>
            <a:solidFill>
              <a:srgbClr val="5B9BD5"/>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%'!$C$2317:$C$2662</c:f>
            </c:numRef>
          </c:val>
          <c:extLst>
            <c:ext xmlns:c16="http://schemas.microsoft.com/office/drawing/2014/chart" uri="{C3380CC4-5D6E-409C-BE32-E72D297353CC}">
              <c16:uniqueId val="{00000000-1C84-4FDC-8483-8063849E6046}"/>
            </c:ext>
          </c:extLst>
        </c:ser>
        <c:ser>
          <c:idx val="1"/>
          <c:order val="1"/>
          <c:spPr>
            <a:solidFill>
              <a:srgbClr val="ED7D31"/>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%'!$D$2317:$D$2662</c:f>
            </c:numRef>
          </c:val>
          <c:extLst>
            <c:ext xmlns:c16="http://schemas.microsoft.com/office/drawing/2014/chart" uri="{C3380CC4-5D6E-409C-BE32-E72D297353CC}">
              <c16:uniqueId val="{00000001-1C84-4FDC-8483-8063849E6046}"/>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%'!$E$2317:$E$2662</c:f>
            </c:numRef>
          </c:val>
          <c:extLst>
            <c:ext xmlns:c16="http://schemas.microsoft.com/office/drawing/2014/chart" uri="{C3380CC4-5D6E-409C-BE32-E72D297353CC}">
              <c16:uniqueId val="{00000002-1C84-4FDC-8483-8063849E6046}"/>
            </c:ext>
          </c:extLst>
        </c:ser>
        <c:ser>
          <c:idx val="3"/>
          <c:order val="3"/>
          <c:spPr>
            <a:solidFill>
              <a:srgbClr val="00B0F0"/>
            </a:solidFill>
            <a:ln w="25400">
              <a:no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%'!$F$2317:$F$2662</c:f>
            </c:numRef>
          </c:val>
          <c:extLst>
            <c:ext xmlns:c16="http://schemas.microsoft.com/office/drawing/2014/chart" uri="{C3380CC4-5D6E-409C-BE32-E72D297353CC}">
              <c16:uniqueId val="{00000003-1C84-4FDC-8483-8063849E6046}"/>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%'!$G$2319:$G$3929</c:f>
              <c:numCache>
                <c:formatCode>0.00</c:formatCode>
                <c:ptCount val="1611"/>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pt idx="1489" formatCode="General">
                  <c:v>128</c:v>
                </c:pt>
                <c:pt idx="1490" formatCode="General">
                  <c:v>198</c:v>
                </c:pt>
                <c:pt idx="1491" formatCode="General">
                  <c:v>100</c:v>
                </c:pt>
                <c:pt idx="1492" formatCode="General">
                  <c:v>172</c:v>
                </c:pt>
                <c:pt idx="1493" formatCode="General">
                  <c:v>153</c:v>
                </c:pt>
                <c:pt idx="1494" formatCode="General">
                  <c:v>158</c:v>
                </c:pt>
                <c:pt idx="1495" formatCode="General">
                  <c:v>152</c:v>
                </c:pt>
                <c:pt idx="1496" formatCode="General">
                  <c:v>142</c:v>
                </c:pt>
                <c:pt idx="1497" formatCode="General">
                  <c:v>336</c:v>
                </c:pt>
                <c:pt idx="1498" formatCode="General">
                  <c:v>148</c:v>
                </c:pt>
                <c:pt idx="1499" formatCode="General">
                  <c:v>215</c:v>
                </c:pt>
                <c:pt idx="1500" formatCode="General">
                  <c:v>327</c:v>
                </c:pt>
                <c:pt idx="1501" formatCode="General">
                  <c:v>302</c:v>
                </c:pt>
                <c:pt idx="1502" formatCode="General">
                  <c:v>193</c:v>
                </c:pt>
                <c:pt idx="1503" formatCode="General">
                  <c:v>261</c:v>
                </c:pt>
                <c:pt idx="1504" formatCode="General">
                  <c:v>334</c:v>
                </c:pt>
                <c:pt idx="1505" formatCode="General">
                  <c:v>231</c:v>
                </c:pt>
                <c:pt idx="1506" formatCode="General">
                  <c:v>189</c:v>
                </c:pt>
                <c:pt idx="1507" formatCode="General">
                  <c:v>221</c:v>
                </c:pt>
                <c:pt idx="1508" formatCode="General">
                  <c:v>229</c:v>
                </c:pt>
                <c:pt idx="1509" formatCode="General">
                  <c:v>213</c:v>
                </c:pt>
                <c:pt idx="1510" formatCode="General">
                  <c:v>272</c:v>
                </c:pt>
                <c:pt idx="1511" formatCode="General">
                  <c:v>127</c:v>
                </c:pt>
                <c:pt idx="1512" formatCode="General">
                  <c:v>151</c:v>
                </c:pt>
                <c:pt idx="1513" formatCode="General">
                  <c:v>116</c:v>
                </c:pt>
                <c:pt idx="1514" formatCode="General">
                  <c:v>173</c:v>
                </c:pt>
                <c:pt idx="1515" formatCode="General">
                  <c:v>113</c:v>
                </c:pt>
                <c:pt idx="1516" formatCode="General">
                  <c:v>157</c:v>
                </c:pt>
                <c:pt idx="1517" formatCode="General">
                  <c:v>162</c:v>
                </c:pt>
                <c:pt idx="1518" formatCode="General">
                  <c:v>188</c:v>
                </c:pt>
                <c:pt idx="1519" formatCode="General">
                  <c:v>168</c:v>
                </c:pt>
                <c:pt idx="1520" formatCode="General">
                  <c:v>151</c:v>
                </c:pt>
                <c:pt idx="1521" formatCode="General">
                  <c:v>130</c:v>
                </c:pt>
                <c:pt idx="1522" formatCode="General">
                  <c:v>216</c:v>
                </c:pt>
                <c:pt idx="1523" formatCode="General">
                  <c:v>174</c:v>
                </c:pt>
                <c:pt idx="1524" formatCode="General">
                  <c:v>166</c:v>
                </c:pt>
                <c:pt idx="1525" formatCode="General">
                  <c:v>260</c:v>
                </c:pt>
                <c:pt idx="1526" formatCode="General">
                  <c:v>164</c:v>
                </c:pt>
                <c:pt idx="1527" formatCode="General">
                  <c:v>85</c:v>
                </c:pt>
                <c:pt idx="1528" formatCode="General">
                  <c:v>221</c:v>
                </c:pt>
                <c:pt idx="1529" formatCode="General">
                  <c:v>168</c:v>
                </c:pt>
                <c:pt idx="1530" formatCode="General">
                  <c:v>180</c:v>
                </c:pt>
                <c:pt idx="1531" formatCode="General">
                  <c:v>163</c:v>
                </c:pt>
                <c:pt idx="1532" formatCode="General">
                  <c:v>165</c:v>
                </c:pt>
                <c:pt idx="1533" formatCode="General">
                  <c:v>227</c:v>
                </c:pt>
                <c:pt idx="1534" formatCode="General">
                  <c:v>119</c:v>
                </c:pt>
                <c:pt idx="1535" formatCode="General">
                  <c:v>189</c:v>
                </c:pt>
                <c:pt idx="1536" formatCode="General">
                  <c:v>185</c:v>
                </c:pt>
                <c:pt idx="1537" formatCode="General">
                  <c:v>132</c:v>
                </c:pt>
                <c:pt idx="1538" formatCode="General">
                  <c:v>193</c:v>
                </c:pt>
                <c:pt idx="1539" formatCode="General">
                  <c:v>255</c:v>
                </c:pt>
                <c:pt idx="1540" formatCode="General">
                  <c:v>140</c:v>
                </c:pt>
                <c:pt idx="1541" formatCode="General">
                  <c:v>93</c:v>
                </c:pt>
                <c:pt idx="1542" formatCode="General">
                  <c:v>247</c:v>
                </c:pt>
                <c:pt idx="1543" formatCode="General">
                  <c:v>166</c:v>
                </c:pt>
                <c:pt idx="1544" formatCode="General">
                  <c:v>127</c:v>
                </c:pt>
                <c:pt idx="1545" formatCode="General">
                  <c:v>273</c:v>
                </c:pt>
                <c:pt idx="1546" formatCode="General">
                  <c:v>173</c:v>
                </c:pt>
                <c:pt idx="1547" formatCode="General">
                  <c:v>115</c:v>
                </c:pt>
                <c:pt idx="1548" formatCode="General">
                  <c:v>163</c:v>
                </c:pt>
                <c:pt idx="1549" formatCode="General">
                  <c:v>255</c:v>
                </c:pt>
                <c:pt idx="1550" formatCode="General">
                  <c:v>181</c:v>
                </c:pt>
                <c:pt idx="1551" formatCode="General">
                  <c:v>205</c:v>
                </c:pt>
                <c:pt idx="1552" formatCode="General">
                  <c:v>194</c:v>
                </c:pt>
                <c:pt idx="1553" formatCode="General">
                  <c:v>185</c:v>
                </c:pt>
                <c:pt idx="1554" formatCode="General">
                  <c:v>200</c:v>
                </c:pt>
                <c:pt idx="1555" formatCode="General">
                  <c:v>120</c:v>
                </c:pt>
                <c:pt idx="1556" formatCode="General">
                  <c:v>230</c:v>
                </c:pt>
                <c:pt idx="1557" formatCode="General">
                  <c:v>334</c:v>
                </c:pt>
                <c:pt idx="1558" formatCode="General">
                  <c:v>183</c:v>
                </c:pt>
                <c:pt idx="1559" formatCode="General">
                  <c:v>197</c:v>
                </c:pt>
                <c:pt idx="1560" formatCode="General">
                  <c:v>187</c:v>
                </c:pt>
                <c:pt idx="1561" formatCode="General">
                  <c:v>259</c:v>
                </c:pt>
                <c:pt idx="1562" formatCode="General">
                  <c:v>77</c:v>
                </c:pt>
                <c:pt idx="1563" formatCode="General">
                  <c:v>200</c:v>
                </c:pt>
                <c:pt idx="1564" formatCode="General">
                  <c:v>150</c:v>
                </c:pt>
                <c:pt idx="1565" formatCode="General">
                  <c:v>202</c:v>
                </c:pt>
                <c:pt idx="1566" formatCode="General">
                  <c:v>115</c:v>
                </c:pt>
                <c:pt idx="1567" formatCode="General">
                  <c:v>40</c:v>
                </c:pt>
                <c:pt idx="1568" formatCode="General">
                  <c:v>201</c:v>
                </c:pt>
                <c:pt idx="1569" formatCode="General">
                  <c:v>121</c:v>
                </c:pt>
                <c:pt idx="1570" formatCode="General">
                  <c:v>118</c:v>
                </c:pt>
                <c:pt idx="1571" formatCode="General">
                  <c:v>52</c:v>
                </c:pt>
                <c:pt idx="1572" formatCode="General">
                  <c:v>177</c:v>
                </c:pt>
                <c:pt idx="1573" formatCode="General">
                  <c:v>146</c:v>
                </c:pt>
                <c:pt idx="1574" formatCode="General">
                  <c:v>183</c:v>
                </c:pt>
                <c:pt idx="1575" formatCode="General">
                  <c:v>200</c:v>
                </c:pt>
                <c:pt idx="1576" formatCode="General">
                  <c:v>48</c:v>
                </c:pt>
                <c:pt idx="1577" formatCode="General">
                  <c:v>203</c:v>
                </c:pt>
                <c:pt idx="1578" formatCode="General">
                  <c:v>150</c:v>
                </c:pt>
                <c:pt idx="1579" formatCode="General">
                  <c:v>139</c:v>
                </c:pt>
                <c:pt idx="1580" formatCode="General">
                  <c:v>129</c:v>
                </c:pt>
                <c:pt idx="1581" formatCode="General">
                  <c:v>136</c:v>
                </c:pt>
                <c:pt idx="1582" formatCode="General">
                  <c:v>152</c:v>
                </c:pt>
                <c:pt idx="1583" formatCode="General">
                  <c:v>108</c:v>
                </c:pt>
                <c:pt idx="1584" formatCode="General">
                  <c:v>200</c:v>
                </c:pt>
                <c:pt idx="1585" formatCode="General">
                  <c:v>135</c:v>
                </c:pt>
                <c:pt idx="1586" formatCode="General">
                  <c:v>163</c:v>
                </c:pt>
                <c:pt idx="1587" formatCode="General">
                  <c:v>116</c:v>
                </c:pt>
                <c:pt idx="1588" formatCode="General">
                  <c:v>185</c:v>
                </c:pt>
                <c:pt idx="1589" formatCode="General">
                  <c:v>150</c:v>
                </c:pt>
                <c:pt idx="1590" formatCode="General">
                  <c:v>86</c:v>
                </c:pt>
                <c:pt idx="1591" formatCode="General">
                  <c:v>166</c:v>
                </c:pt>
                <c:pt idx="1592" formatCode="General">
                  <c:v>138</c:v>
                </c:pt>
                <c:pt idx="1593" formatCode="General">
                  <c:v>156</c:v>
                </c:pt>
                <c:pt idx="1594" formatCode="General">
                  <c:v>144</c:v>
                </c:pt>
                <c:pt idx="1595" formatCode="General">
                  <c:v>217</c:v>
                </c:pt>
                <c:pt idx="1596" formatCode="General">
                  <c:v>90</c:v>
                </c:pt>
                <c:pt idx="1597" formatCode="General">
                  <c:v>108</c:v>
                </c:pt>
                <c:pt idx="1598" formatCode="General">
                  <c:v>132</c:v>
                </c:pt>
                <c:pt idx="1599" formatCode="General">
                  <c:v>73</c:v>
                </c:pt>
                <c:pt idx="1600" formatCode="General">
                  <c:v>172</c:v>
                </c:pt>
                <c:pt idx="1601" formatCode="General">
                  <c:v>120</c:v>
                </c:pt>
                <c:pt idx="1602" formatCode="General">
                  <c:v>131</c:v>
                </c:pt>
                <c:pt idx="1603" formatCode="General">
                  <c:v>203</c:v>
                </c:pt>
                <c:pt idx="1604" formatCode="General">
                  <c:v>52</c:v>
                </c:pt>
                <c:pt idx="1605" formatCode="General">
                  <c:v>197</c:v>
                </c:pt>
                <c:pt idx="1606" formatCode="General">
                  <c:v>152</c:v>
                </c:pt>
                <c:pt idx="1607" formatCode="General">
                  <c:v>151</c:v>
                </c:pt>
                <c:pt idx="1608" formatCode="General">
                  <c:v>168</c:v>
                </c:pt>
                <c:pt idx="1609" formatCode="General">
                  <c:v>140</c:v>
                </c:pt>
                <c:pt idx="1610" formatCode="General">
                  <c:v>138</c:v>
                </c:pt>
              </c:numCache>
            </c:numRef>
          </c:val>
          <c:extLst>
            <c:ext xmlns:c16="http://schemas.microsoft.com/office/drawing/2014/chart" uri="{C3380CC4-5D6E-409C-BE32-E72D297353CC}">
              <c16:uniqueId val="{00000004-1C84-4FDC-8483-8063849E6046}"/>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%'!$I$2317:$I$3929</c:f>
              <c:numCache>
                <c:formatCode>0.00</c:formatCode>
                <c:ptCount val="1613"/>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pt idx="1491" formatCode="General">
                  <c:v>147</c:v>
                </c:pt>
                <c:pt idx="1492" formatCode="General">
                  <c:v>12</c:v>
                </c:pt>
                <c:pt idx="1493" formatCode="General">
                  <c:v>101</c:v>
                </c:pt>
                <c:pt idx="1494" formatCode="General">
                  <c:v>63</c:v>
                </c:pt>
                <c:pt idx="1495" formatCode="General">
                  <c:v>114</c:v>
                </c:pt>
                <c:pt idx="1496" formatCode="General">
                  <c:v>131</c:v>
                </c:pt>
                <c:pt idx="1497" formatCode="General">
                  <c:v>31</c:v>
                </c:pt>
                <c:pt idx="1498" formatCode="General">
                  <c:v>173</c:v>
                </c:pt>
                <c:pt idx="1499" formatCode="General">
                  <c:v>86</c:v>
                </c:pt>
                <c:pt idx="1500" formatCode="General">
                  <c:v>136</c:v>
                </c:pt>
                <c:pt idx="1501" formatCode="General">
                  <c:v>140</c:v>
                </c:pt>
                <c:pt idx="1502" formatCode="General">
                  <c:v>36</c:v>
                </c:pt>
                <c:pt idx="1503" formatCode="General">
                  <c:v>139</c:v>
                </c:pt>
                <c:pt idx="1504" formatCode="General">
                  <c:v>77</c:v>
                </c:pt>
                <c:pt idx="1505" formatCode="General">
                  <c:v>147</c:v>
                </c:pt>
                <c:pt idx="1506" formatCode="General">
                  <c:v>70</c:v>
                </c:pt>
                <c:pt idx="1507" formatCode="General">
                  <c:v>72</c:v>
                </c:pt>
                <c:pt idx="1508" formatCode="General">
                  <c:v>0</c:v>
                </c:pt>
                <c:pt idx="1509" formatCode="General">
                  <c:v>287</c:v>
                </c:pt>
                <c:pt idx="1510" formatCode="General">
                  <c:v>78</c:v>
                </c:pt>
                <c:pt idx="1511" formatCode="General">
                  <c:v>79</c:v>
                </c:pt>
                <c:pt idx="1512" formatCode="General">
                  <c:v>54</c:v>
                </c:pt>
                <c:pt idx="1513" formatCode="General">
                  <c:v>91</c:v>
                </c:pt>
                <c:pt idx="1514" formatCode="General">
                  <c:v>53</c:v>
                </c:pt>
                <c:pt idx="1515" formatCode="General">
                  <c:v>127</c:v>
                </c:pt>
                <c:pt idx="1516" formatCode="General">
                  <c:v>89</c:v>
                </c:pt>
                <c:pt idx="1517" formatCode="General">
                  <c:v>42</c:v>
                </c:pt>
                <c:pt idx="1518" formatCode="General">
                  <c:v>166</c:v>
                </c:pt>
                <c:pt idx="1519" formatCode="General">
                  <c:v>75</c:v>
                </c:pt>
                <c:pt idx="1520" formatCode="General">
                  <c:v>60</c:v>
                </c:pt>
                <c:pt idx="1521" formatCode="General">
                  <c:v>98</c:v>
                </c:pt>
                <c:pt idx="1522" formatCode="General">
                  <c:v>113</c:v>
                </c:pt>
                <c:pt idx="1523" formatCode="General">
                  <c:v>106</c:v>
                </c:pt>
                <c:pt idx="1524" formatCode="General">
                  <c:v>88</c:v>
                </c:pt>
                <c:pt idx="1525" formatCode="General">
                  <c:v>76</c:v>
                </c:pt>
                <c:pt idx="1526" formatCode="General">
                  <c:v>130</c:v>
                </c:pt>
                <c:pt idx="1527" formatCode="General">
                  <c:v>41</c:v>
                </c:pt>
                <c:pt idx="1528" formatCode="General">
                  <c:v>84</c:v>
                </c:pt>
                <c:pt idx="1529" formatCode="General">
                  <c:v>122</c:v>
                </c:pt>
                <c:pt idx="1530" formatCode="General">
                  <c:v>88</c:v>
                </c:pt>
                <c:pt idx="1531" formatCode="General">
                  <c:v>59</c:v>
                </c:pt>
                <c:pt idx="1532" formatCode="General">
                  <c:v>115</c:v>
                </c:pt>
                <c:pt idx="1533" formatCode="General">
                  <c:v>88</c:v>
                </c:pt>
                <c:pt idx="1534" formatCode="General">
                  <c:v>106</c:v>
                </c:pt>
                <c:pt idx="1535" formatCode="General">
                  <c:v>30</c:v>
                </c:pt>
                <c:pt idx="1536" formatCode="General">
                  <c:v>0</c:v>
                </c:pt>
                <c:pt idx="1537" formatCode="General">
                  <c:v>0</c:v>
                </c:pt>
                <c:pt idx="1538" formatCode="General">
                  <c:v>263</c:v>
                </c:pt>
                <c:pt idx="1539" formatCode="General">
                  <c:v>287</c:v>
                </c:pt>
                <c:pt idx="1540" formatCode="General">
                  <c:v>0</c:v>
                </c:pt>
                <c:pt idx="1541" formatCode="General">
                  <c:v>0</c:v>
                </c:pt>
                <c:pt idx="1542" formatCode="General">
                  <c:v>0</c:v>
                </c:pt>
                <c:pt idx="1543" formatCode="General">
                  <c:v>26</c:v>
                </c:pt>
                <c:pt idx="1544" formatCode="General">
                  <c:v>129</c:v>
                </c:pt>
                <c:pt idx="1545" formatCode="General">
                  <c:v>244</c:v>
                </c:pt>
                <c:pt idx="1546" formatCode="General">
                  <c:v>62</c:v>
                </c:pt>
                <c:pt idx="1547" formatCode="General">
                  <c:v>0</c:v>
                </c:pt>
                <c:pt idx="1548" formatCode="General">
                  <c:v>287</c:v>
                </c:pt>
                <c:pt idx="1549" formatCode="General">
                  <c:v>298</c:v>
                </c:pt>
                <c:pt idx="1550" formatCode="General">
                  <c:v>216</c:v>
                </c:pt>
                <c:pt idx="1551" formatCode="General">
                  <c:v>0</c:v>
                </c:pt>
                <c:pt idx="1552" formatCode="General">
                  <c:v>0</c:v>
                </c:pt>
                <c:pt idx="1553" formatCode="General">
                  <c:v>0</c:v>
                </c:pt>
                <c:pt idx="1554" formatCode="General">
                  <c:v>56</c:v>
                </c:pt>
                <c:pt idx="1555" formatCode="General">
                  <c:v>34</c:v>
                </c:pt>
                <c:pt idx="1556" formatCode="General">
                  <c:v>289</c:v>
                </c:pt>
                <c:pt idx="1557" formatCode="General">
                  <c:v>406</c:v>
                </c:pt>
                <c:pt idx="1558" formatCode="General">
                  <c:v>117</c:v>
                </c:pt>
                <c:pt idx="1559" formatCode="General">
                  <c:v>155</c:v>
                </c:pt>
                <c:pt idx="1560" formatCode="General">
                  <c:v>73</c:v>
                </c:pt>
                <c:pt idx="1561" formatCode="General">
                  <c:v>61</c:v>
                </c:pt>
                <c:pt idx="1562" formatCode="General">
                  <c:v>91</c:v>
                </c:pt>
                <c:pt idx="1563" formatCode="General">
                  <c:v>69</c:v>
                </c:pt>
                <c:pt idx="1564" formatCode="General">
                  <c:v>29</c:v>
                </c:pt>
                <c:pt idx="1565" formatCode="General">
                  <c:v>210</c:v>
                </c:pt>
                <c:pt idx="1566" formatCode="General">
                  <c:v>75</c:v>
                </c:pt>
                <c:pt idx="1567" formatCode="General">
                  <c:v>69</c:v>
                </c:pt>
                <c:pt idx="1568" formatCode="General">
                  <c:v>119</c:v>
                </c:pt>
                <c:pt idx="1569" formatCode="General">
                  <c:v>86</c:v>
                </c:pt>
                <c:pt idx="1570" formatCode="General">
                  <c:v>0</c:v>
                </c:pt>
                <c:pt idx="1571" formatCode="General">
                  <c:v>346</c:v>
                </c:pt>
                <c:pt idx="1572" formatCode="General">
                  <c:v>88</c:v>
                </c:pt>
                <c:pt idx="1573" formatCode="General">
                  <c:v>45</c:v>
                </c:pt>
                <c:pt idx="1574" formatCode="General">
                  <c:v>85</c:v>
                </c:pt>
                <c:pt idx="1575" formatCode="General">
                  <c:v>109</c:v>
                </c:pt>
                <c:pt idx="1576" formatCode="General">
                  <c:v>62</c:v>
                </c:pt>
                <c:pt idx="1577" formatCode="General">
                  <c:v>30</c:v>
                </c:pt>
                <c:pt idx="1578" formatCode="General">
                  <c:v>211</c:v>
                </c:pt>
                <c:pt idx="1579" formatCode="General">
                  <c:v>25</c:v>
                </c:pt>
                <c:pt idx="1580" formatCode="General">
                  <c:v>110</c:v>
                </c:pt>
                <c:pt idx="1581" formatCode="General">
                  <c:v>68</c:v>
                </c:pt>
                <c:pt idx="1582" formatCode="General">
                  <c:v>189</c:v>
                </c:pt>
                <c:pt idx="1583" formatCode="General">
                  <c:v>53</c:v>
                </c:pt>
                <c:pt idx="1584" formatCode="General">
                  <c:v>64</c:v>
                </c:pt>
                <c:pt idx="1585" formatCode="General">
                  <c:v>78</c:v>
                </c:pt>
                <c:pt idx="1586" formatCode="General">
                  <c:v>25</c:v>
                </c:pt>
                <c:pt idx="1587" formatCode="General">
                  <c:v>65</c:v>
                </c:pt>
                <c:pt idx="1588" formatCode="General">
                  <c:v>56</c:v>
                </c:pt>
                <c:pt idx="1589" formatCode="General">
                  <c:v>92</c:v>
                </c:pt>
                <c:pt idx="1590" formatCode="General">
                  <c:v>22</c:v>
                </c:pt>
                <c:pt idx="1591" formatCode="General">
                  <c:v>0</c:v>
                </c:pt>
                <c:pt idx="1592" formatCode="General">
                  <c:v>219</c:v>
                </c:pt>
                <c:pt idx="1593" formatCode="General">
                  <c:v>29</c:v>
                </c:pt>
                <c:pt idx="1594" formatCode="General">
                  <c:v>75</c:v>
                </c:pt>
                <c:pt idx="1595" formatCode="General">
                  <c:v>24</c:v>
                </c:pt>
                <c:pt idx="1596" formatCode="General">
                  <c:v>65</c:v>
                </c:pt>
                <c:pt idx="1597" formatCode="General">
                  <c:v>34</c:v>
                </c:pt>
                <c:pt idx="1598" formatCode="General">
                  <c:v>54</c:v>
                </c:pt>
                <c:pt idx="1599" formatCode="General">
                  <c:v>40</c:v>
                </c:pt>
                <c:pt idx="1600" formatCode="General">
                  <c:v>76</c:v>
                </c:pt>
                <c:pt idx="1601" formatCode="General">
                  <c:v>27</c:v>
                </c:pt>
                <c:pt idx="1602" formatCode="General">
                  <c:v>64</c:v>
                </c:pt>
                <c:pt idx="1603" formatCode="General">
                  <c:v>19</c:v>
                </c:pt>
                <c:pt idx="1604" formatCode="General">
                  <c:v>57</c:v>
                </c:pt>
                <c:pt idx="1605" formatCode="General">
                  <c:v>11</c:v>
                </c:pt>
                <c:pt idx="1606" formatCode="General">
                  <c:v>128</c:v>
                </c:pt>
                <c:pt idx="1607" formatCode="General">
                  <c:v>0</c:v>
                </c:pt>
                <c:pt idx="1608" formatCode="General">
                  <c:v>48</c:v>
                </c:pt>
                <c:pt idx="1609" formatCode="General">
                  <c:v>35</c:v>
                </c:pt>
                <c:pt idx="1610" formatCode="General">
                  <c:v>22</c:v>
                </c:pt>
                <c:pt idx="1611" formatCode="General">
                  <c:v>61</c:v>
                </c:pt>
                <c:pt idx="1612" formatCode="General">
                  <c:v>51</c:v>
                </c:pt>
              </c:numCache>
            </c:numRef>
          </c:val>
          <c:extLst>
            <c:ext xmlns:c16="http://schemas.microsoft.com/office/drawing/2014/chart" uri="{C3380CC4-5D6E-409C-BE32-E72D297353CC}">
              <c16:uniqueId val="{00000005-1C84-4FDC-8483-8063849E6046}"/>
            </c:ext>
          </c:extLst>
        </c:ser>
        <c:dLbls>
          <c:showLegendKey val="0"/>
          <c:showVal val="0"/>
          <c:showCatName val="0"/>
          <c:showSerName val="0"/>
          <c:showPercent val="0"/>
          <c:showBubbleSize val="0"/>
        </c:dLbls>
        <c:gapWidth val="150"/>
        <c:axId val="506136056"/>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%'!$A$2317:$A$3929</c:f>
              <c:numCache>
                <c:formatCode>d/mm/yyyy;@</c:formatCode>
                <c:ptCount val="1613"/>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pt idx="1491">
                  <c:v>45261</c:v>
                </c:pt>
                <c:pt idx="1492">
                  <c:v>45262</c:v>
                </c:pt>
                <c:pt idx="1493">
                  <c:v>45263</c:v>
                </c:pt>
                <c:pt idx="1494">
                  <c:v>45264</c:v>
                </c:pt>
                <c:pt idx="1495">
                  <c:v>45265</c:v>
                </c:pt>
                <c:pt idx="1496">
                  <c:v>45266</c:v>
                </c:pt>
                <c:pt idx="1497">
                  <c:v>45267</c:v>
                </c:pt>
                <c:pt idx="1498">
                  <c:v>45268</c:v>
                </c:pt>
                <c:pt idx="1499">
                  <c:v>45269</c:v>
                </c:pt>
                <c:pt idx="1500">
                  <c:v>45270</c:v>
                </c:pt>
                <c:pt idx="1501">
                  <c:v>45271</c:v>
                </c:pt>
                <c:pt idx="1502">
                  <c:v>45272</c:v>
                </c:pt>
                <c:pt idx="1503">
                  <c:v>45273</c:v>
                </c:pt>
                <c:pt idx="1504">
                  <c:v>45274</c:v>
                </c:pt>
                <c:pt idx="1505">
                  <c:v>45275</c:v>
                </c:pt>
                <c:pt idx="1506">
                  <c:v>45276</c:v>
                </c:pt>
                <c:pt idx="1507">
                  <c:v>45277</c:v>
                </c:pt>
                <c:pt idx="1508">
                  <c:v>45278</c:v>
                </c:pt>
                <c:pt idx="1509">
                  <c:v>45279</c:v>
                </c:pt>
                <c:pt idx="1510">
                  <c:v>45280</c:v>
                </c:pt>
                <c:pt idx="1511">
                  <c:v>45281</c:v>
                </c:pt>
                <c:pt idx="1512">
                  <c:v>45282</c:v>
                </c:pt>
                <c:pt idx="1513">
                  <c:v>45283</c:v>
                </c:pt>
                <c:pt idx="1514">
                  <c:v>45284</c:v>
                </c:pt>
                <c:pt idx="1515">
                  <c:v>45285</c:v>
                </c:pt>
                <c:pt idx="1516">
                  <c:v>45286</c:v>
                </c:pt>
                <c:pt idx="1517">
                  <c:v>45287</c:v>
                </c:pt>
                <c:pt idx="1518">
                  <c:v>45288</c:v>
                </c:pt>
                <c:pt idx="1519">
                  <c:v>45289</c:v>
                </c:pt>
                <c:pt idx="1520">
                  <c:v>45290</c:v>
                </c:pt>
                <c:pt idx="1521">
                  <c:v>45291</c:v>
                </c:pt>
                <c:pt idx="1522">
                  <c:v>45292</c:v>
                </c:pt>
                <c:pt idx="1523">
                  <c:v>45293</c:v>
                </c:pt>
                <c:pt idx="1524">
                  <c:v>45294</c:v>
                </c:pt>
                <c:pt idx="1525">
                  <c:v>45295</c:v>
                </c:pt>
                <c:pt idx="1526">
                  <c:v>45296</c:v>
                </c:pt>
                <c:pt idx="1527">
                  <c:v>45297</c:v>
                </c:pt>
                <c:pt idx="1528">
                  <c:v>45298</c:v>
                </c:pt>
                <c:pt idx="1529">
                  <c:v>45299</c:v>
                </c:pt>
                <c:pt idx="1530">
                  <c:v>45300</c:v>
                </c:pt>
                <c:pt idx="1531">
                  <c:v>45301</c:v>
                </c:pt>
                <c:pt idx="1532">
                  <c:v>45302</c:v>
                </c:pt>
                <c:pt idx="1533">
                  <c:v>45303</c:v>
                </c:pt>
                <c:pt idx="1534">
                  <c:v>45304</c:v>
                </c:pt>
                <c:pt idx="1535">
                  <c:v>45305</c:v>
                </c:pt>
                <c:pt idx="1536">
                  <c:v>45306</c:v>
                </c:pt>
                <c:pt idx="1537">
                  <c:v>45307</c:v>
                </c:pt>
                <c:pt idx="1538">
                  <c:v>45308</c:v>
                </c:pt>
                <c:pt idx="1539">
                  <c:v>45309</c:v>
                </c:pt>
                <c:pt idx="1540">
                  <c:v>45310</c:v>
                </c:pt>
                <c:pt idx="1541">
                  <c:v>45311</c:v>
                </c:pt>
                <c:pt idx="1542">
                  <c:v>45312</c:v>
                </c:pt>
                <c:pt idx="1543">
                  <c:v>45313</c:v>
                </c:pt>
                <c:pt idx="1544">
                  <c:v>45314</c:v>
                </c:pt>
                <c:pt idx="1545">
                  <c:v>45315</c:v>
                </c:pt>
                <c:pt idx="1546">
                  <c:v>45316</c:v>
                </c:pt>
                <c:pt idx="1547">
                  <c:v>45317</c:v>
                </c:pt>
                <c:pt idx="1548">
                  <c:v>45318</c:v>
                </c:pt>
                <c:pt idx="1549">
                  <c:v>45319</c:v>
                </c:pt>
                <c:pt idx="1550">
                  <c:v>45320</c:v>
                </c:pt>
                <c:pt idx="1551">
                  <c:v>45321</c:v>
                </c:pt>
                <c:pt idx="1552">
                  <c:v>45322</c:v>
                </c:pt>
                <c:pt idx="1553">
                  <c:v>45323</c:v>
                </c:pt>
                <c:pt idx="1554">
                  <c:v>45324</c:v>
                </c:pt>
                <c:pt idx="1555">
                  <c:v>45325</c:v>
                </c:pt>
                <c:pt idx="1556">
                  <c:v>45326</c:v>
                </c:pt>
                <c:pt idx="1557">
                  <c:v>45327</c:v>
                </c:pt>
                <c:pt idx="1558">
                  <c:v>45328</c:v>
                </c:pt>
                <c:pt idx="1559">
                  <c:v>45329</c:v>
                </c:pt>
                <c:pt idx="1560">
                  <c:v>45330</c:v>
                </c:pt>
                <c:pt idx="1561">
                  <c:v>45331</c:v>
                </c:pt>
                <c:pt idx="1562">
                  <c:v>45332</c:v>
                </c:pt>
                <c:pt idx="1563">
                  <c:v>45333</c:v>
                </c:pt>
                <c:pt idx="1564">
                  <c:v>45334</c:v>
                </c:pt>
                <c:pt idx="1565">
                  <c:v>45335</c:v>
                </c:pt>
                <c:pt idx="1566">
                  <c:v>45336</c:v>
                </c:pt>
                <c:pt idx="1567">
                  <c:v>45337</c:v>
                </c:pt>
                <c:pt idx="1568">
                  <c:v>45338</c:v>
                </c:pt>
                <c:pt idx="1569">
                  <c:v>45339</c:v>
                </c:pt>
                <c:pt idx="1570">
                  <c:v>45340</c:v>
                </c:pt>
                <c:pt idx="1571">
                  <c:v>45341</c:v>
                </c:pt>
                <c:pt idx="1572">
                  <c:v>45342</c:v>
                </c:pt>
                <c:pt idx="1573">
                  <c:v>45343</c:v>
                </c:pt>
                <c:pt idx="1574">
                  <c:v>45344</c:v>
                </c:pt>
                <c:pt idx="1575">
                  <c:v>45345</c:v>
                </c:pt>
                <c:pt idx="1576">
                  <c:v>45346</c:v>
                </c:pt>
                <c:pt idx="1577">
                  <c:v>45347</c:v>
                </c:pt>
                <c:pt idx="1578">
                  <c:v>45348</c:v>
                </c:pt>
                <c:pt idx="1579">
                  <c:v>45349</c:v>
                </c:pt>
                <c:pt idx="1580">
                  <c:v>45350</c:v>
                </c:pt>
                <c:pt idx="1581">
                  <c:v>45351</c:v>
                </c:pt>
                <c:pt idx="1582">
                  <c:v>45352</c:v>
                </c:pt>
                <c:pt idx="1583">
                  <c:v>45353</c:v>
                </c:pt>
                <c:pt idx="1584">
                  <c:v>45354</c:v>
                </c:pt>
                <c:pt idx="1585">
                  <c:v>45355</c:v>
                </c:pt>
                <c:pt idx="1586">
                  <c:v>45356</c:v>
                </c:pt>
                <c:pt idx="1587">
                  <c:v>45357</c:v>
                </c:pt>
                <c:pt idx="1588">
                  <c:v>45358</c:v>
                </c:pt>
                <c:pt idx="1589">
                  <c:v>45359</c:v>
                </c:pt>
                <c:pt idx="1590">
                  <c:v>45360</c:v>
                </c:pt>
                <c:pt idx="1591">
                  <c:v>45361</c:v>
                </c:pt>
                <c:pt idx="1592">
                  <c:v>45362</c:v>
                </c:pt>
                <c:pt idx="1593">
                  <c:v>45363</c:v>
                </c:pt>
                <c:pt idx="1594">
                  <c:v>45364</c:v>
                </c:pt>
                <c:pt idx="1595">
                  <c:v>45365</c:v>
                </c:pt>
                <c:pt idx="1596">
                  <c:v>45366</c:v>
                </c:pt>
                <c:pt idx="1597">
                  <c:v>45367</c:v>
                </c:pt>
                <c:pt idx="1598">
                  <c:v>45368</c:v>
                </c:pt>
                <c:pt idx="1599">
                  <c:v>45369</c:v>
                </c:pt>
                <c:pt idx="1600">
                  <c:v>45370</c:v>
                </c:pt>
                <c:pt idx="1601">
                  <c:v>45371</c:v>
                </c:pt>
                <c:pt idx="1602">
                  <c:v>45372</c:v>
                </c:pt>
                <c:pt idx="1603">
                  <c:v>45373</c:v>
                </c:pt>
                <c:pt idx="1604">
                  <c:v>45374</c:v>
                </c:pt>
                <c:pt idx="1605">
                  <c:v>45375</c:v>
                </c:pt>
                <c:pt idx="1606">
                  <c:v>45376</c:v>
                </c:pt>
                <c:pt idx="1607">
                  <c:v>45377</c:v>
                </c:pt>
                <c:pt idx="1608">
                  <c:v>45378</c:v>
                </c:pt>
                <c:pt idx="1609">
                  <c:v>45379</c:v>
                </c:pt>
                <c:pt idx="1610">
                  <c:v>45380</c:v>
                </c:pt>
                <c:pt idx="1611">
                  <c:v>45381</c:v>
                </c:pt>
                <c:pt idx="1612">
                  <c:v>45382</c:v>
                </c:pt>
              </c:numCache>
            </c:numRef>
          </c:cat>
          <c:val>
            <c:numRef>
              <c:f>'Creek level production and %'!$K$2317:$K$3929</c:f>
              <c:numCache>
                <c:formatCode>General</c:formatCode>
                <c:ptCount val="1613"/>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pt idx="1491">
                  <c:v>95</c:v>
                </c:pt>
                <c:pt idx="1492">
                  <c:v>95</c:v>
                </c:pt>
                <c:pt idx="1493">
                  <c:v>95</c:v>
                </c:pt>
                <c:pt idx="1494">
                  <c:v>90</c:v>
                </c:pt>
                <c:pt idx="1495">
                  <c:v>90</c:v>
                </c:pt>
                <c:pt idx="1496">
                  <c:v>90</c:v>
                </c:pt>
                <c:pt idx="1497">
                  <c:v>90</c:v>
                </c:pt>
                <c:pt idx="1498">
                  <c:v>90</c:v>
                </c:pt>
                <c:pt idx="1499">
                  <c:v>90</c:v>
                </c:pt>
                <c:pt idx="1500">
                  <c:v>90</c:v>
                </c:pt>
                <c:pt idx="1501">
                  <c:v>90</c:v>
                </c:pt>
                <c:pt idx="1502">
                  <c:v>90</c:v>
                </c:pt>
                <c:pt idx="1503">
                  <c:v>90</c:v>
                </c:pt>
                <c:pt idx="1504">
                  <c:v>90</c:v>
                </c:pt>
                <c:pt idx="1505">
                  <c:v>90</c:v>
                </c:pt>
                <c:pt idx="1506">
                  <c:v>90</c:v>
                </c:pt>
                <c:pt idx="1507">
                  <c:v>90</c:v>
                </c:pt>
                <c:pt idx="1508">
                  <c:v>90</c:v>
                </c:pt>
                <c:pt idx="1509">
                  <c:v>90</c:v>
                </c:pt>
                <c:pt idx="1510">
                  <c:v>90</c:v>
                </c:pt>
                <c:pt idx="1511">
                  <c:v>90</c:v>
                </c:pt>
                <c:pt idx="1512">
                  <c:v>90</c:v>
                </c:pt>
                <c:pt idx="1513">
                  <c:v>90</c:v>
                </c:pt>
                <c:pt idx="1514">
                  <c:v>90</c:v>
                </c:pt>
                <c:pt idx="1515">
                  <c:v>100</c:v>
                </c:pt>
                <c:pt idx="1516">
                  <c:v>100</c:v>
                </c:pt>
                <c:pt idx="1517">
                  <c:v>100</c:v>
                </c:pt>
                <c:pt idx="1518">
                  <c:v>100</c:v>
                </c:pt>
                <c:pt idx="1519">
                  <c:v>100</c:v>
                </c:pt>
                <c:pt idx="1520">
                  <c:v>100</c:v>
                </c:pt>
                <c:pt idx="1521">
                  <c:v>100</c:v>
                </c:pt>
                <c:pt idx="1522">
                  <c:v>100</c:v>
                </c:pt>
                <c:pt idx="1523">
                  <c:v>100</c:v>
                </c:pt>
                <c:pt idx="1524">
                  <c:v>100</c:v>
                </c:pt>
                <c:pt idx="1525">
                  <c:v>100</c:v>
                </c:pt>
                <c:pt idx="1526">
                  <c:v>100</c:v>
                </c:pt>
                <c:pt idx="1527">
                  <c:v>100</c:v>
                </c:pt>
                <c:pt idx="1528">
                  <c:v>100</c:v>
                </c:pt>
                <c:pt idx="1529">
                  <c:v>100</c:v>
                </c:pt>
                <c:pt idx="1530">
                  <c:v>100</c:v>
                </c:pt>
                <c:pt idx="1531">
                  <c:v>100</c:v>
                </c:pt>
                <c:pt idx="1532">
                  <c:v>100</c:v>
                </c:pt>
                <c:pt idx="1533">
                  <c:v>100</c:v>
                </c:pt>
                <c:pt idx="1534">
                  <c:v>100</c:v>
                </c:pt>
                <c:pt idx="1535">
                  <c:v>100</c:v>
                </c:pt>
                <c:pt idx="1536">
                  <c:v>100</c:v>
                </c:pt>
                <c:pt idx="1537">
                  <c:v>100</c:v>
                </c:pt>
                <c:pt idx="1538">
                  <c:v>100</c:v>
                </c:pt>
                <c:pt idx="1539">
                  <c:v>100</c:v>
                </c:pt>
                <c:pt idx="1540">
                  <c:v>100</c:v>
                </c:pt>
                <c:pt idx="1541">
                  <c:v>100</c:v>
                </c:pt>
                <c:pt idx="1542">
                  <c:v>100</c:v>
                </c:pt>
                <c:pt idx="1543">
                  <c:v>100</c:v>
                </c:pt>
                <c:pt idx="1544">
                  <c:v>100</c:v>
                </c:pt>
                <c:pt idx="1545">
                  <c:v>100</c:v>
                </c:pt>
                <c:pt idx="1546">
                  <c:v>100</c:v>
                </c:pt>
                <c:pt idx="1547">
                  <c:v>100</c:v>
                </c:pt>
                <c:pt idx="1548">
                  <c:v>100</c:v>
                </c:pt>
                <c:pt idx="1549">
                  <c:v>100</c:v>
                </c:pt>
                <c:pt idx="1550">
                  <c:v>100</c:v>
                </c:pt>
                <c:pt idx="1551">
                  <c:v>100</c:v>
                </c:pt>
                <c:pt idx="1552">
                  <c:v>100</c:v>
                </c:pt>
                <c:pt idx="1553">
                  <c:v>100</c:v>
                </c:pt>
                <c:pt idx="1554">
                  <c:v>100</c:v>
                </c:pt>
                <c:pt idx="1555">
                  <c:v>100</c:v>
                </c:pt>
                <c:pt idx="1556">
                  <c:v>100</c:v>
                </c:pt>
                <c:pt idx="1557">
                  <c:v>100</c:v>
                </c:pt>
                <c:pt idx="1558">
                  <c:v>100</c:v>
                </c:pt>
                <c:pt idx="1559">
                  <c:v>100</c:v>
                </c:pt>
                <c:pt idx="1560">
                  <c:v>100</c:v>
                </c:pt>
                <c:pt idx="1561">
                  <c:v>100</c:v>
                </c:pt>
                <c:pt idx="1562">
                  <c:v>100</c:v>
                </c:pt>
                <c:pt idx="1563">
                  <c:v>100</c:v>
                </c:pt>
                <c:pt idx="1564">
                  <c:v>100</c:v>
                </c:pt>
                <c:pt idx="1565">
                  <c:v>100</c:v>
                </c:pt>
                <c:pt idx="1566">
                  <c:v>100</c:v>
                </c:pt>
                <c:pt idx="1567">
                  <c:v>100</c:v>
                </c:pt>
                <c:pt idx="1568">
                  <c:v>100</c:v>
                </c:pt>
                <c:pt idx="1569">
                  <c:v>100</c:v>
                </c:pt>
                <c:pt idx="1570">
                  <c:v>100</c:v>
                </c:pt>
                <c:pt idx="1571">
                  <c:v>100</c:v>
                </c:pt>
                <c:pt idx="1572">
                  <c:v>100</c:v>
                </c:pt>
                <c:pt idx="1573">
                  <c:v>100</c:v>
                </c:pt>
                <c:pt idx="1574">
                  <c:v>100</c:v>
                </c:pt>
                <c:pt idx="1575">
                  <c:v>100</c:v>
                </c:pt>
                <c:pt idx="1576">
                  <c:v>100</c:v>
                </c:pt>
                <c:pt idx="1577">
                  <c:v>100</c:v>
                </c:pt>
                <c:pt idx="1578">
                  <c:v>100</c:v>
                </c:pt>
                <c:pt idx="1579">
                  <c:v>100</c:v>
                </c:pt>
                <c:pt idx="1580">
                  <c:v>100</c:v>
                </c:pt>
                <c:pt idx="1581">
                  <c:v>100</c:v>
                </c:pt>
                <c:pt idx="1582">
                  <c:v>100</c:v>
                </c:pt>
                <c:pt idx="1583">
                  <c:v>100</c:v>
                </c:pt>
                <c:pt idx="1584">
                  <c:v>100</c:v>
                </c:pt>
                <c:pt idx="1585">
                  <c:v>100</c:v>
                </c:pt>
                <c:pt idx="1586">
                  <c:v>100</c:v>
                </c:pt>
                <c:pt idx="1587">
                  <c:v>100</c:v>
                </c:pt>
                <c:pt idx="1588">
                  <c:v>100</c:v>
                </c:pt>
                <c:pt idx="1589">
                  <c:v>100</c:v>
                </c:pt>
                <c:pt idx="1590">
                  <c:v>100</c:v>
                </c:pt>
                <c:pt idx="1591">
                  <c:v>100</c:v>
                </c:pt>
                <c:pt idx="1592">
                  <c:v>100</c:v>
                </c:pt>
                <c:pt idx="1593">
                  <c:v>100</c:v>
                </c:pt>
                <c:pt idx="1594">
                  <c:v>100</c:v>
                </c:pt>
                <c:pt idx="1595">
                  <c:v>100</c:v>
                </c:pt>
                <c:pt idx="1596">
                  <c:v>100</c:v>
                </c:pt>
                <c:pt idx="1597">
                  <c:v>100</c:v>
                </c:pt>
                <c:pt idx="1598">
                  <c:v>100</c:v>
                </c:pt>
                <c:pt idx="1599">
                  <c:v>100</c:v>
                </c:pt>
                <c:pt idx="1600">
                  <c:v>100</c:v>
                </c:pt>
                <c:pt idx="1601">
                  <c:v>100</c:v>
                </c:pt>
                <c:pt idx="1602">
                  <c:v>100</c:v>
                </c:pt>
                <c:pt idx="1603">
                  <c:v>100</c:v>
                </c:pt>
                <c:pt idx="1604">
                  <c:v>100</c:v>
                </c:pt>
                <c:pt idx="1605">
                  <c:v>100</c:v>
                </c:pt>
                <c:pt idx="1606">
                  <c:v>100</c:v>
                </c:pt>
                <c:pt idx="1607">
                  <c:v>100</c:v>
                </c:pt>
                <c:pt idx="1608">
                  <c:v>100</c:v>
                </c:pt>
                <c:pt idx="1609">
                  <c:v>100</c:v>
                </c:pt>
                <c:pt idx="1610">
                  <c:v>100</c:v>
                </c:pt>
                <c:pt idx="1611">
                  <c:v>100</c:v>
                </c:pt>
                <c:pt idx="1612">
                  <c:v>100</c:v>
                </c:pt>
              </c:numCache>
            </c:numRef>
          </c:val>
          <c:smooth val="0"/>
          <c:extLst>
            <c:ext xmlns:c16="http://schemas.microsoft.com/office/drawing/2014/chart" uri="{C3380CC4-5D6E-409C-BE32-E72D297353CC}">
              <c16:uniqueId val="{00000006-1C84-4FDC-8483-8063849E6046}"/>
            </c:ext>
          </c:extLst>
        </c:ser>
        <c:dLbls>
          <c:showLegendKey val="0"/>
          <c:showVal val="0"/>
          <c:showCatName val="0"/>
          <c:showSerName val="0"/>
          <c:showPercent val="0"/>
          <c:showBubbleSize val="0"/>
        </c:dLbls>
        <c:marker val="1"/>
        <c:smooth val="0"/>
        <c:axId val="3"/>
        <c:axId val="4"/>
      </c:lineChart>
      <c:dateAx>
        <c:axId val="506136056"/>
        <c:scaling>
          <c:orientation val="minMax"/>
          <c:max val="45322"/>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506136056"/>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9.2567345017766339E-2"/>
          <c:y val="2.4251690760877111E-2"/>
          <c:w val="0.29134255103506684"/>
          <c:h val="0.14601277202554405"/>
        </c:manualLayout>
      </c:layout>
      <c:overlay val="0"/>
      <c:spPr>
        <a:noFill/>
        <a:ln w="25400">
          <a:noFill/>
        </a:ln>
      </c:spPr>
      <c:txPr>
        <a:bodyPr/>
        <a:lstStyle/>
        <a:p>
          <a:pPr>
            <a:defRPr sz="8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0.23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610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0.012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410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0.017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7.4</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7.4</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610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410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0.23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0.012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0.017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660</Words>
  <Characters>3605</Characters>
  <Application>Microsoft Office Word</Application>
  <DocSecurity>0</DocSecurity>
  <Lines>212</Lines>
  <Paragraphs>147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Gillian Marchant</cp:lastModifiedBy>
  <cp:revision>2</cp:revision>
  <cp:lastPrinted>2020-04-17T01:08:00Z</cp:lastPrinted>
  <dcterms:created xsi:type="dcterms:W3CDTF">2024-07-12T03:30:00Z</dcterms:created>
  <dcterms:modified xsi:type="dcterms:W3CDTF">2024-07-12T03:30:00Z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