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14219057" w14:textId="3C96FD58" w:rsidR="00D77E15" w:rsidRPr="003E1B11" w:rsidRDefault="003E1B11" w:rsidP="003E1B11">
      <w:pPr>
        <w:spacing w:after="240" w:line="240" w:lineRule="auto"/>
        <w:rPr>
          <w:rFonts w:ascii="Verdana" w:hAnsi="Verdana"/>
          <w:sz w:val="20"/>
          <w:szCs w:val="24"/>
        </w:rPr>
      </w:pPr>
      <w:r>
        <w:rPr>
          <w:rFonts w:ascii="Verdana" w:hAnsi="Verdana"/>
          <w:sz w:val="20"/>
          <w:szCs w:val="24"/>
        </w:rPr>
        <w:t>T</w:t>
      </w:r>
      <w:r w:rsidR="00341F95">
        <w:rPr>
          <w:rFonts w:ascii="Verdana" w:hAnsi="Verdana"/>
          <w:sz w:val="20"/>
          <w:szCs w:val="24"/>
        </w:rPr>
        <w:t>he dam stopping overtopping</w:t>
      </w:r>
      <w:r w:rsidR="00564A6B">
        <w:rPr>
          <w:rFonts w:ascii="Verdana" w:hAnsi="Verdana"/>
          <w:sz w:val="20"/>
          <w:szCs w:val="24"/>
        </w:rPr>
        <w:t xml:space="preserve"> in March 2023</w:t>
      </w:r>
      <w:r>
        <w:rPr>
          <w:rFonts w:ascii="Verdana" w:hAnsi="Verdana"/>
          <w:sz w:val="20"/>
          <w:szCs w:val="24"/>
        </w:rPr>
        <w:t xml:space="preserve"> a dry period through summer saw the dam fall to below 80%. </w:t>
      </w:r>
    </w:p>
    <w:p w14:paraId="17BEA5CB" w14:textId="77777777" w:rsidR="003E1B11" w:rsidRDefault="003E1B11" w:rsidP="00A413F2">
      <w:pPr>
        <w:jc w:val="center"/>
      </w:pPr>
      <w:r>
        <w:rPr>
          <w:noProof/>
        </w:rPr>
        <w:drawing>
          <wp:inline distT="0" distB="0" distL="0" distR="0" wp14:anchorId="5A8B81F5" wp14:editId="2F757E72">
            <wp:extent cx="1836453" cy="2880000"/>
            <wp:effectExtent l="76200" t="76200" r="125730"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53" cy="288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19A9834" w14:textId="774961BA" w:rsidR="003E1B11" w:rsidRDefault="003E1B11" w:rsidP="003C33A5">
      <w:pPr>
        <w:pStyle w:val="Caption"/>
        <w:jc w:val="center"/>
      </w:pPr>
      <w:r w:rsidRPr="002B09F3">
        <w:t xml:space="preserve">Figure </w:t>
      </w:r>
      <w:r w:rsidRPr="002B09F3">
        <w:rPr>
          <w:noProof/>
        </w:rPr>
        <w:fldChar w:fldCharType="begin"/>
      </w:r>
      <w:r w:rsidRPr="002B09F3">
        <w:rPr>
          <w:noProof/>
        </w:rPr>
        <w:instrText xml:space="preserve"> SEQ Figure \* ARABIC </w:instrText>
      </w:r>
      <w:r w:rsidRPr="002B09F3">
        <w:rPr>
          <w:noProof/>
        </w:rPr>
        <w:fldChar w:fldCharType="separate"/>
      </w:r>
      <w:r>
        <w:rPr>
          <w:noProof/>
        </w:rPr>
        <w:t>1</w:t>
      </w:r>
      <w:r w:rsidRPr="002B09F3">
        <w:rPr>
          <w:noProof/>
        </w:rPr>
        <w:fldChar w:fldCharType="end"/>
      </w:r>
      <w:r w:rsidRPr="002B09F3">
        <w:t xml:space="preserve">: </w:t>
      </w:r>
      <w:r>
        <w:t>View of Dam Wall</w:t>
      </w:r>
      <w:r w:rsidR="003C33A5">
        <w:t xml:space="preserve"> Drought </w:t>
      </w:r>
      <w:r>
        <w:t>July</w:t>
      </w:r>
      <w:r>
        <w:t xml:space="preserve"> 20</w:t>
      </w:r>
      <w:r w:rsidR="003C33A5">
        <w:t>19</w:t>
      </w:r>
    </w:p>
    <w:p w14:paraId="66AB1EFD" w14:textId="43365DF0" w:rsidR="0019332B" w:rsidRPr="00627986" w:rsidRDefault="00341F95" w:rsidP="00A413F2">
      <w:pPr>
        <w:jc w:val="center"/>
        <w:rPr>
          <w:highlight w:val="yellow"/>
        </w:rPr>
      </w:pPr>
      <w:r>
        <w:rPr>
          <w:noProof/>
        </w:rPr>
        <w:drawing>
          <wp:inline distT="0" distB="0" distL="0" distR="0" wp14:anchorId="6177604E" wp14:editId="1F31B5A0">
            <wp:extent cx="4320000" cy="3240000"/>
            <wp:effectExtent l="76200" t="76200" r="137795" b="132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10"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1"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2"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3"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default" r:id="rId14"/>
          <w:footerReference w:type="default" r:id="rId15"/>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5FE20670">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1"/>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0C0DF0E3" w:rsidR="00761581" w:rsidRPr="00761581" w:rsidRDefault="009523F7" w:rsidP="00761581">
      <w:r w:rsidRPr="009523F7">
        <w:drawing>
          <wp:inline distT="0" distB="0" distL="0" distR="0" wp14:anchorId="0DDEED0A" wp14:editId="6B24C3F7">
            <wp:extent cx="6299835" cy="3867150"/>
            <wp:effectExtent l="0" t="0" r="5715" b="0"/>
            <wp:docPr id="13" name="Chart 13">
              <a:extLst xmlns:a="http://schemas.openxmlformats.org/drawingml/2006/main">
                <a:ext uri="{FF2B5EF4-FFF2-40B4-BE49-F238E27FC236}">
                  <a16:creationId xmlns:a16="http://schemas.microsoft.com/office/drawing/2014/main" id="{F9E71943-A01A-AA91-9674-1E8924468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4"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9523F7">
      <w:pPr>
        <w:rPr>
          <w:rFonts w:ascii="Verdana" w:hAnsi="Verdana"/>
          <w:sz w:val="24"/>
          <w:szCs w:val="24"/>
        </w:rPr>
      </w:pPr>
      <w:hyperlink r:id="rId25"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6"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27"/>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7CD972EA"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9523F7">
      <w:rPr>
        <w:b/>
      </w:rPr>
      <w:t>December 2023 to Janu</w:t>
    </w:r>
    <w:r w:rsidR="00E934D5">
      <w:rPr>
        <w:b/>
      </w:rPr>
      <w:t>ary</w:t>
    </w:r>
    <w:r w:rsidR="00AA2150">
      <w:rPr>
        <w:b/>
      </w:rPr>
      <w:t xml:space="preserve"> 202</w:t>
    </w:r>
    <w:r w:rsidR="003E1B11">
      <w:rPr>
        <w: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933825">
    <w:abstractNumId w:val="3"/>
  </w:num>
  <w:num w:numId="2" w16cid:durableId="63533350">
    <w:abstractNumId w:val="1"/>
  </w:num>
  <w:num w:numId="3" w16cid:durableId="1052920953">
    <w:abstractNumId w:val="0"/>
  </w:num>
  <w:num w:numId="4" w16cid:durableId="1043214051">
    <w:abstractNumId w:val="2"/>
  </w:num>
  <w:num w:numId="5" w16cid:durableId="49351305">
    <w:abstractNumId w:val="4"/>
  </w:num>
  <w:num w:numId="6" w16cid:durableId="1776708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C89"/>
    <w:rsid w:val="002811F4"/>
    <w:rsid w:val="00291858"/>
    <w:rsid w:val="002926CA"/>
    <w:rsid w:val="00292FAD"/>
    <w:rsid w:val="002A7E52"/>
    <w:rsid w:val="002B09F3"/>
    <w:rsid w:val="002B178A"/>
    <w:rsid w:val="002F7FB9"/>
    <w:rsid w:val="00303249"/>
    <w:rsid w:val="00311E03"/>
    <w:rsid w:val="00321723"/>
    <w:rsid w:val="00331E8B"/>
    <w:rsid w:val="00337DA2"/>
    <w:rsid w:val="00341F95"/>
    <w:rsid w:val="00343530"/>
    <w:rsid w:val="003436DA"/>
    <w:rsid w:val="003C3112"/>
    <w:rsid w:val="003C33A5"/>
    <w:rsid w:val="003C7655"/>
    <w:rsid w:val="003D1B67"/>
    <w:rsid w:val="003E1B11"/>
    <w:rsid w:val="003E3335"/>
    <w:rsid w:val="00424327"/>
    <w:rsid w:val="00426180"/>
    <w:rsid w:val="00434534"/>
    <w:rsid w:val="00435A52"/>
    <w:rsid w:val="00444E8E"/>
    <w:rsid w:val="00446C4C"/>
    <w:rsid w:val="004556D2"/>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64A6B"/>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66E6"/>
    <w:rsid w:val="007C7C70"/>
    <w:rsid w:val="007D0C05"/>
    <w:rsid w:val="007F3E24"/>
    <w:rsid w:val="00805154"/>
    <w:rsid w:val="0081345D"/>
    <w:rsid w:val="00894210"/>
    <w:rsid w:val="00897955"/>
    <w:rsid w:val="008A4561"/>
    <w:rsid w:val="008C4B56"/>
    <w:rsid w:val="008C555A"/>
    <w:rsid w:val="008D621F"/>
    <w:rsid w:val="008E358F"/>
    <w:rsid w:val="008E6DED"/>
    <w:rsid w:val="008E7D39"/>
    <w:rsid w:val="008F05C3"/>
    <w:rsid w:val="0090137D"/>
    <w:rsid w:val="00910B8A"/>
    <w:rsid w:val="00912A3B"/>
    <w:rsid w:val="00916F93"/>
    <w:rsid w:val="00932C2F"/>
    <w:rsid w:val="009523F7"/>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34D5"/>
    <w:rsid w:val="00E972B5"/>
    <w:rsid w:val="00EB21EE"/>
    <w:rsid w:val="00EB5CD5"/>
    <w:rsid w:val="00EC41FC"/>
    <w:rsid w:val="00ED2E20"/>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qld.gov.au/environment-water-waste/water-supply-dams/dams-bores/13299-water-quality" TargetMode="External"/><Relationship Id="rId18" Type="http://schemas.openxmlformats.org/officeDocument/2006/relationships/diagramQuickStyle" Target="diagrams/quickStyle1.xml"/><Relationship Id="rId26" Type="http://schemas.openxmlformats.org/officeDocument/2006/relationships/hyperlink" Target="https://www.tenterfield.nsw.gov.au/infrastructure/water-supply-includes-water-restrictions/permanent-water-conservation-measur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diagramLayout" Target="diagrams/layout1.xml"/><Relationship Id="rId25" Type="http://schemas.openxmlformats.org/officeDocument/2006/relationships/hyperlink" Target="https://www.nhmrc.gov.au/about-us/publications/australian-drinking-water-guidelin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yperlink" Target="mailto:council@tenterfield.nsw.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Copy%20of%20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Calibri"/>
                <a:ea typeface="Calibri"/>
                <a:cs typeface="Calibri"/>
              </a:defRPr>
            </a:pPr>
            <a:r>
              <a:rPr lang="en-AU"/>
              <a:t>Dam volume % v's</a:t>
            </a:r>
          </a:p>
          <a:p>
            <a:pPr>
              <a:defRPr sz="1200" b="0" i="0" u="none" strike="noStrike" baseline="0">
                <a:solidFill>
                  <a:srgbClr val="000000"/>
                </a:solidFill>
                <a:latin typeface="Calibri"/>
                <a:ea typeface="Calibri"/>
                <a:cs typeface="Calibri"/>
              </a:defRPr>
            </a:pPr>
            <a:r>
              <a:rPr lang="en-AU"/>
              <a:t> KL of Tenterfield town supply used</a:t>
            </a:r>
          </a:p>
        </c:rich>
      </c:tx>
      <c:overlay val="0"/>
    </c:title>
    <c:autoTitleDeleted val="0"/>
    <c:plotArea>
      <c:layout>
        <c:manualLayout>
          <c:layoutTarget val="inner"/>
          <c:xMode val="edge"/>
          <c:yMode val="edge"/>
          <c:x val="9.7357787942065149E-2"/>
          <c:y val="6.5661136249371546E-2"/>
          <c:w val="0.80521680329722922"/>
          <c:h val="0.72073878696197458"/>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%'!$C$156:$C$318</c:f>
            </c:numRef>
          </c:val>
          <c:extLst>
            <c:ext xmlns:c16="http://schemas.microsoft.com/office/drawing/2014/chart" uri="{C3380CC4-5D6E-409C-BE32-E72D297353CC}">
              <c16:uniqueId val="{00000000-F554-482F-B800-E10A3A8DBF89}"/>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%'!$D$156:$D$318</c:f>
            </c:numRef>
          </c:val>
          <c:extLst>
            <c:ext xmlns:c16="http://schemas.microsoft.com/office/drawing/2014/chart" uri="{C3380CC4-5D6E-409C-BE32-E72D297353CC}">
              <c16:uniqueId val="{00000001-F554-482F-B800-E10A3A8DBF89}"/>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%'!$E$156:$E$318</c:f>
            </c:numRef>
          </c:val>
          <c:extLst>
            <c:ext xmlns:c16="http://schemas.microsoft.com/office/drawing/2014/chart" uri="{C3380CC4-5D6E-409C-BE32-E72D297353CC}">
              <c16:uniqueId val="{00000002-F554-482F-B800-E10A3A8DBF89}"/>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%'!$F$156:$F$1343</c:f>
            </c:numRef>
          </c:val>
          <c:extLst>
            <c:ext xmlns:c16="http://schemas.microsoft.com/office/drawing/2014/chart" uri="{C3380CC4-5D6E-409C-BE32-E72D297353CC}">
              <c16:uniqueId val="{00000003-F554-482F-B800-E10A3A8DBF89}"/>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%'!$G$156:$G$318</c:f>
            </c:numRef>
          </c:val>
          <c:extLst>
            <c:ext xmlns:c16="http://schemas.microsoft.com/office/drawing/2014/chart" uri="{C3380CC4-5D6E-409C-BE32-E72D297353CC}">
              <c16:uniqueId val="{00000004-F554-482F-B800-E10A3A8DBF89}"/>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%'!$H$156:$H$318</c:f>
            </c:numRef>
          </c:val>
          <c:extLst>
            <c:ext xmlns:c16="http://schemas.microsoft.com/office/drawing/2014/chart" uri="{C3380CC4-5D6E-409C-BE32-E72D297353CC}">
              <c16:uniqueId val="{00000005-F554-482F-B800-E10A3A8DBF89}"/>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%'!$I$156:$I$318</c:f>
            </c:numRef>
          </c:val>
          <c:extLst>
            <c:ext xmlns:c16="http://schemas.microsoft.com/office/drawing/2014/chart" uri="{C3380CC4-5D6E-409C-BE32-E72D297353CC}">
              <c16:uniqueId val="{00000006-F554-482F-B800-E10A3A8DBF89}"/>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%'!$J$156:$J$318</c:f>
            </c:numRef>
          </c:val>
          <c:extLst>
            <c:ext xmlns:c16="http://schemas.microsoft.com/office/drawing/2014/chart" uri="{C3380CC4-5D6E-409C-BE32-E72D297353CC}">
              <c16:uniqueId val="{00000007-F554-482F-B800-E10A3A8DBF89}"/>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%'!$B$581:$B$2101</c:f>
              <c:numCache>
                <c:formatCode>[$-C09]dddd\,\ d\ mmmm\ yyyy;@</c:formatCode>
                <c:ptCount val="1521"/>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pt idx="1370">
                  <c:v>45200</c:v>
                </c:pt>
                <c:pt idx="1371">
                  <c:v>45201</c:v>
                </c:pt>
                <c:pt idx="1372">
                  <c:v>45202</c:v>
                </c:pt>
                <c:pt idx="1373">
                  <c:v>45203</c:v>
                </c:pt>
                <c:pt idx="1374">
                  <c:v>45204</c:v>
                </c:pt>
                <c:pt idx="1375">
                  <c:v>45205</c:v>
                </c:pt>
                <c:pt idx="1376">
                  <c:v>45206</c:v>
                </c:pt>
                <c:pt idx="1377">
                  <c:v>45207</c:v>
                </c:pt>
                <c:pt idx="1378">
                  <c:v>45208</c:v>
                </c:pt>
                <c:pt idx="1379">
                  <c:v>45209</c:v>
                </c:pt>
                <c:pt idx="1380">
                  <c:v>45210</c:v>
                </c:pt>
                <c:pt idx="1381">
                  <c:v>45211</c:v>
                </c:pt>
                <c:pt idx="1382">
                  <c:v>45212</c:v>
                </c:pt>
                <c:pt idx="1383">
                  <c:v>45213</c:v>
                </c:pt>
                <c:pt idx="1384">
                  <c:v>45214</c:v>
                </c:pt>
                <c:pt idx="1385">
                  <c:v>45215</c:v>
                </c:pt>
                <c:pt idx="1386">
                  <c:v>45216</c:v>
                </c:pt>
                <c:pt idx="1387">
                  <c:v>45217</c:v>
                </c:pt>
                <c:pt idx="1388">
                  <c:v>45218</c:v>
                </c:pt>
                <c:pt idx="1389">
                  <c:v>45219</c:v>
                </c:pt>
                <c:pt idx="1390">
                  <c:v>45220</c:v>
                </c:pt>
                <c:pt idx="1391">
                  <c:v>45221</c:v>
                </c:pt>
                <c:pt idx="1392">
                  <c:v>45222</c:v>
                </c:pt>
                <c:pt idx="1393">
                  <c:v>45223</c:v>
                </c:pt>
                <c:pt idx="1394">
                  <c:v>45224</c:v>
                </c:pt>
                <c:pt idx="1395">
                  <c:v>45225</c:v>
                </c:pt>
                <c:pt idx="1396">
                  <c:v>45226</c:v>
                </c:pt>
                <c:pt idx="1397">
                  <c:v>45227</c:v>
                </c:pt>
                <c:pt idx="1398">
                  <c:v>45228</c:v>
                </c:pt>
                <c:pt idx="1399">
                  <c:v>45229</c:v>
                </c:pt>
                <c:pt idx="1400">
                  <c:v>45230</c:v>
                </c:pt>
                <c:pt idx="1401">
                  <c:v>45231</c:v>
                </c:pt>
                <c:pt idx="1402">
                  <c:v>45232</c:v>
                </c:pt>
                <c:pt idx="1403">
                  <c:v>45233</c:v>
                </c:pt>
                <c:pt idx="1404">
                  <c:v>45234</c:v>
                </c:pt>
                <c:pt idx="1405">
                  <c:v>45235</c:v>
                </c:pt>
                <c:pt idx="1406">
                  <c:v>45236</c:v>
                </c:pt>
                <c:pt idx="1407">
                  <c:v>45237</c:v>
                </c:pt>
                <c:pt idx="1408">
                  <c:v>45238</c:v>
                </c:pt>
                <c:pt idx="1409">
                  <c:v>45239</c:v>
                </c:pt>
                <c:pt idx="1410">
                  <c:v>45240</c:v>
                </c:pt>
                <c:pt idx="1411">
                  <c:v>45241</c:v>
                </c:pt>
                <c:pt idx="1412">
                  <c:v>45242</c:v>
                </c:pt>
                <c:pt idx="1413">
                  <c:v>45243</c:v>
                </c:pt>
                <c:pt idx="1414">
                  <c:v>45244</c:v>
                </c:pt>
                <c:pt idx="1415">
                  <c:v>45245</c:v>
                </c:pt>
                <c:pt idx="1416">
                  <c:v>45246</c:v>
                </c:pt>
                <c:pt idx="1417">
                  <c:v>45247</c:v>
                </c:pt>
                <c:pt idx="1418">
                  <c:v>45248</c:v>
                </c:pt>
                <c:pt idx="1419">
                  <c:v>45250</c:v>
                </c:pt>
                <c:pt idx="1420">
                  <c:v>45251</c:v>
                </c:pt>
                <c:pt idx="1421">
                  <c:v>45252</c:v>
                </c:pt>
                <c:pt idx="1422">
                  <c:v>45253</c:v>
                </c:pt>
                <c:pt idx="1423">
                  <c:v>45254</c:v>
                </c:pt>
                <c:pt idx="1424">
                  <c:v>45255</c:v>
                </c:pt>
                <c:pt idx="1425">
                  <c:v>45256</c:v>
                </c:pt>
                <c:pt idx="1426">
                  <c:v>45257</c:v>
                </c:pt>
                <c:pt idx="1427">
                  <c:v>45258</c:v>
                </c:pt>
                <c:pt idx="1428">
                  <c:v>45259</c:v>
                </c:pt>
                <c:pt idx="1429">
                  <c:v>45260</c:v>
                </c:pt>
                <c:pt idx="1430">
                  <c:v>45261</c:v>
                </c:pt>
                <c:pt idx="1431">
                  <c:v>45262</c:v>
                </c:pt>
                <c:pt idx="1432">
                  <c:v>45263</c:v>
                </c:pt>
                <c:pt idx="1433">
                  <c:v>45264</c:v>
                </c:pt>
                <c:pt idx="1434">
                  <c:v>45265</c:v>
                </c:pt>
                <c:pt idx="1435">
                  <c:v>45266</c:v>
                </c:pt>
                <c:pt idx="1436">
                  <c:v>45267</c:v>
                </c:pt>
                <c:pt idx="1437">
                  <c:v>45268</c:v>
                </c:pt>
                <c:pt idx="1438">
                  <c:v>45269</c:v>
                </c:pt>
                <c:pt idx="1439">
                  <c:v>45270</c:v>
                </c:pt>
                <c:pt idx="1440">
                  <c:v>45271</c:v>
                </c:pt>
                <c:pt idx="1441">
                  <c:v>45272</c:v>
                </c:pt>
                <c:pt idx="1442">
                  <c:v>45273</c:v>
                </c:pt>
                <c:pt idx="1443">
                  <c:v>45274</c:v>
                </c:pt>
                <c:pt idx="1444">
                  <c:v>45275</c:v>
                </c:pt>
                <c:pt idx="1445">
                  <c:v>45276</c:v>
                </c:pt>
                <c:pt idx="1446">
                  <c:v>45277</c:v>
                </c:pt>
                <c:pt idx="1447">
                  <c:v>45278</c:v>
                </c:pt>
                <c:pt idx="1448">
                  <c:v>45279</c:v>
                </c:pt>
                <c:pt idx="1449">
                  <c:v>45280</c:v>
                </c:pt>
                <c:pt idx="1450">
                  <c:v>45281</c:v>
                </c:pt>
                <c:pt idx="1451">
                  <c:v>45282</c:v>
                </c:pt>
                <c:pt idx="1452">
                  <c:v>45283</c:v>
                </c:pt>
                <c:pt idx="1453">
                  <c:v>45284</c:v>
                </c:pt>
                <c:pt idx="1454">
                  <c:v>45285</c:v>
                </c:pt>
                <c:pt idx="1455">
                  <c:v>45286</c:v>
                </c:pt>
                <c:pt idx="1456">
                  <c:v>45287</c:v>
                </c:pt>
                <c:pt idx="1457">
                  <c:v>45288</c:v>
                </c:pt>
                <c:pt idx="1458">
                  <c:v>45289</c:v>
                </c:pt>
                <c:pt idx="1459">
                  <c:v>45290</c:v>
                </c:pt>
                <c:pt idx="1460">
                  <c:v>45291</c:v>
                </c:pt>
                <c:pt idx="1461">
                  <c:v>45292</c:v>
                </c:pt>
                <c:pt idx="1462">
                  <c:v>45293</c:v>
                </c:pt>
                <c:pt idx="1463">
                  <c:v>45294</c:v>
                </c:pt>
                <c:pt idx="1464">
                  <c:v>45295</c:v>
                </c:pt>
                <c:pt idx="1465">
                  <c:v>45296</c:v>
                </c:pt>
                <c:pt idx="1466">
                  <c:v>45297</c:v>
                </c:pt>
                <c:pt idx="1467">
                  <c:v>45298</c:v>
                </c:pt>
                <c:pt idx="1468">
                  <c:v>45299</c:v>
                </c:pt>
                <c:pt idx="1469">
                  <c:v>45300</c:v>
                </c:pt>
                <c:pt idx="1470">
                  <c:v>45301</c:v>
                </c:pt>
                <c:pt idx="1471">
                  <c:v>45302</c:v>
                </c:pt>
                <c:pt idx="1472">
                  <c:v>45303</c:v>
                </c:pt>
                <c:pt idx="1473">
                  <c:v>45304</c:v>
                </c:pt>
                <c:pt idx="1474">
                  <c:v>45305</c:v>
                </c:pt>
                <c:pt idx="1475">
                  <c:v>45306</c:v>
                </c:pt>
                <c:pt idx="1476">
                  <c:v>45307</c:v>
                </c:pt>
                <c:pt idx="1477">
                  <c:v>45308</c:v>
                </c:pt>
                <c:pt idx="1478">
                  <c:v>45309</c:v>
                </c:pt>
                <c:pt idx="1479">
                  <c:v>45310</c:v>
                </c:pt>
                <c:pt idx="1480">
                  <c:v>45311</c:v>
                </c:pt>
                <c:pt idx="1481">
                  <c:v>45312</c:v>
                </c:pt>
                <c:pt idx="1482">
                  <c:v>45313</c:v>
                </c:pt>
                <c:pt idx="1483">
                  <c:v>45314</c:v>
                </c:pt>
                <c:pt idx="1484">
                  <c:v>45315</c:v>
                </c:pt>
                <c:pt idx="1485">
                  <c:v>45316</c:v>
                </c:pt>
                <c:pt idx="1486">
                  <c:v>45317</c:v>
                </c:pt>
                <c:pt idx="1487">
                  <c:v>45318</c:v>
                </c:pt>
                <c:pt idx="1488">
                  <c:v>45319</c:v>
                </c:pt>
                <c:pt idx="1489">
                  <c:v>45320</c:v>
                </c:pt>
                <c:pt idx="1490">
                  <c:v>45321</c:v>
                </c:pt>
                <c:pt idx="1491">
                  <c:v>45322</c:v>
                </c:pt>
                <c:pt idx="1492">
                  <c:v>45323</c:v>
                </c:pt>
                <c:pt idx="1493">
                  <c:v>45324</c:v>
                </c:pt>
                <c:pt idx="1494">
                  <c:v>45325</c:v>
                </c:pt>
                <c:pt idx="1495">
                  <c:v>45326</c:v>
                </c:pt>
                <c:pt idx="1496">
                  <c:v>45327</c:v>
                </c:pt>
                <c:pt idx="1497">
                  <c:v>45328</c:v>
                </c:pt>
                <c:pt idx="1498">
                  <c:v>45329</c:v>
                </c:pt>
                <c:pt idx="1499">
                  <c:v>45330</c:v>
                </c:pt>
                <c:pt idx="1500">
                  <c:v>45331</c:v>
                </c:pt>
                <c:pt idx="1501">
                  <c:v>45332</c:v>
                </c:pt>
                <c:pt idx="1502">
                  <c:v>45333</c:v>
                </c:pt>
                <c:pt idx="1503">
                  <c:v>45334</c:v>
                </c:pt>
                <c:pt idx="1504">
                  <c:v>45335</c:v>
                </c:pt>
                <c:pt idx="1505">
                  <c:v>45336</c:v>
                </c:pt>
                <c:pt idx="1506">
                  <c:v>45337</c:v>
                </c:pt>
                <c:pt idx="1507">
                  <c:v>45338</c:v>
                </c:pt>
                <c:pt idx="1508">
                  <c:v>45339</c:v>
                </c:pt>
                <c:pt idx="1509">
                  <c:v>45340</c:v>
                </c:pt>
                <c:pt idx="1510">
                  <c:v>45341</c:v>
                </c:pt>
                <c:pt idx="1511">
                  <c:v>45342</c:v>
                </c:pt>
                <c:pt idx="1512">
                  <c:v>45343</c:v>
                </c:pt>
                <c:pt idx="1513">
                  <c:v>45344</c:v>
                </c:pt>
                <c:pt idx="1514">
                  <c:v>45345</c:v>
                </c:pt>
                <c:pt idx="1515">
                  <c:v>45346</c:v>
                </c:pt>
                <c:pt idx="1516">
                  <c:v>45347</c:v>
                </c:pt>
                <c:pt idx="1517">
                  <c:v>45348</c:v>
                </c:pt>
                <c:pt idx="1518">
                  <c:v>45349</c:v>
                </c:pt>
                <c:pt idx="1519">
                  <c:v>45350</c:v>
                </c:pt>
                <c:pt idx="1520">
                  <c:v>45351</c:v>
                </c:pt>
              </c:numCache>
            </c:numRef>
          </c:cat>
          <c:val>
            <c:numRef>
              <c:f>'Dam level production and %'!$K$581:$K$2101</c:f>
              <c:numCache>
                <c:formatCode>0.0</c:formatCode>
                <c:ptCount val="1521"/>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pt idx="1370" formatCode="General">
                  <c:v>1031.0999999999999</c:v>
                </c:pt>
                <c:pt idx="1371" formatCode="General">
                  <c:v>1279.5</c:v>
                </c:pt>
                <c:pt idx="1372" formatCode="General">
                  <c:v>1160.4000000000001</c:v>
                </c:pt>
                <c:pt idx="1373" formatCode="General">
                  <c:v>943.5</c:v>
                </c:pt>
                <c:pt idx="1374" formatCode="General">
                  <c:v>804.5</c:v>
                </c:pt>
                <c:pt idx="1375" formatCode="General">
                  <c:v>863.4</c:v>
                </c:pt>
                <c:pt idx="1376" formatCode="General">
                  <c:v>958</c:v>
                </c:pt>
                <c:pt idx="1377" formatCode="General">
                  <c:v>872.8</c:v>
                </c:pt>
                <c:pt idx="1378" formatCode="General">
                  <c:v>996.5</c:v>
                </c:pt>
                <c:pt idx="1379" formatCode="General">
                  <c:v>977.3</c:v>
                </c:pt>
                <c:pt idx="1380" formatCode="General">
                  <c:v>963.8</c:v>
                </c:pt>
                <c:pt idx="1381" formatCode="General">
                  <c:v>983</c:v>
                </c:pt>
                <c:pt idx="1382" formatCode="General">
                  <c:v>999.1</c:v>
                </c:pt>
                <c:pt idx="1383" formatCode="General">
                  <c:v>1159.7</c:v>
                </c:pt>
                <c:pt idx="1384" formatCode="General">
                  <c:v>1159</c:v>
                </c:pt>
                <c:pt idx="1385" formatCode="General">
                  <c:v>1005</c:v>
                </c:pt>
                <c:pt idx="1386" formatCode="General">
                  <c:v>1080.3</c:v>
                </c:pt>
                <c:pt idx="1387" formatCode="General">
                  <c:v>1118.9000000000001</c:v>
                </c:pt>
                <c:pt idx="1388" formatCode="General">
                  <c:v>1073.2</c:v>
                </c:pt>
                <c:pt idx="1389" formatCode="General">
                  <c:v>1236.4000000000001</c:v>
                </c:pt>
                <c:pt idx="1390" formatCode="General">
                  <c:v>1177.9000000000001</c:v>
                </c:pt>
                <c:pt idx="1391" formatCode="General">
                  <c:v>1215.9000000000001</c:v>
                </c:pt>
                <c:pt idx="1392" formatCode="General">
                  <c:v>1366.3</c:v>
                </c:pt>
                <c:pt idx="1393" formatCode="General">
                  <c:v>1211.7</c:v>
                </c:pt>
                <c:pt idx="1394" formatCode="General">
                  <c:v>1189.5999999999999</c:v>
                </c:pt>
                <c:pt idx="1395" formatCode="General">
                  <c:v>1009.8</c:v>
                </c:pt>
                <c:pt idx="1396" formatCode="General">
                  <c:v>680</c:v>
                </c:pt>
                <c:pt idx="1397" formatCode="General">
                  <c:v>1073.2</c:v>
                </c:pt>
                <c:pt idx="1398" formatCode="General">
                  <c:v>1162.5</c:v>
                </c:pt>
                <c:pt idx="1399" formatCode="General">
                  <c:v>1357.3</c:v>
                </c:pt>
                <c:pt idx="1400" formatCode="General">
                  <c:v>1353.1</c:v>
                </c:pt>
                <c:pt idx="1401" formatCode="General">
                  <c:v>950.8</c:v>
                </c:pt>
                <c:pt idx="1402" formatCode="General">
                  <c:v>1272.5</c:v>
                </c:pt>
                <c:pt idx="1403" formatCode="General">
                  <c:v>771.4</c:v>
                </c:pt>
                <c:pt idx="1404" formatCode="General">
                  <c:v>944.6</c:v>
                </c:pt>
                <c:pt idx="1405" formatCode="General">
                  <c:v>811.8</c:v>
                </c:pt>
                <c:pt idx="1406" formatCode="General">
                  <c:v>851</c:v>
                </c:pt>
                <c:pt idx="1407" formatCode="General">
                  <c:v>857.6</c:v>
                </c:pt>
                <c:pt idx="1408" formatCode="General">
                  <c:v>872.9</c:v>
                </c:pt>
                <c:pt idx="1409" formatCode="General">
                  <c:v>745.8</c:v>
                </c:pt>
                <c:pt idx="1410" formatCode="General">
                  <c:v>817.7</c:v>
                </c:pt>
                <c:pt idx="1411" formatCode="General">
                  <c:v>875</c:v>
                </c:pt>
                <c:pt idx="1412" formatCode="General">
                  <c:v>950.8</c:v>
                </c:pt>
                <c:pt idx="1413" formatCode="General">
                  <c:v>1031.2</c:v>
                </c:pt>
                <c:pt idx="1414" formatCode="General">
                  <c:v>555.20000000000005</c:v>
                </c:pt>
                <c:pt idx="1415" formatCode="General">
                  <c:v>1739</c:v>
                </c:pt>
                <c:pt idx="1416" formatCode="General">
                  <c:v>737.7</c:v>
                </c:pt>
                <c:pt idx="1417" formatCode="General">
                  <c:v>903.6</c:v>
                </c:pt>
                <c:pt idx="1418" formatCode="General">
                  <c:v>1051.8</c:v>
                </c:pt>
                <c:pt idx="1419" formatCode="General">
                  <c:v>767.5</c:v>
                </c:pt>
                <c:pt idx="1420" formatCode="General">
                  <c:v>668.5</c:v>
                </c:pt>
                <c:pt idx="1421" formatCode="General">
                  <c:v>581.79999999999995</c:v>
                </c:pt>
                <c:pt idx="1422" formatCode="General">
                  <c:v>771.5</c:v>
                </c:pt>
                <c:pt idx="1423" formatCode="General">
                  <c:v>2010.8</c:v>
                </c:pt>
                <c:pt idx="1424" formatCode="General">
                  <c:v>318.60000000000002</c:v>
                </c:pt>
                <c:pt idx="1425" formatCode="General">
                  <c:v>800.7</c:v>
                </c:pt>
                <c:pt idx="1426" formatCode="General">
                  <c:v>966.2</c:v>
                </c:pt>
                <c:pt idx="1427" formatCode="General">
                  <c:v>292.3</c:v>
                </c:pt>
                <c:pt idx="1428" formatCode="General">
                  <c:v>1079.9000000000001</c:v>
                </c:pt>
                <c:pt idx="1429" formatCode="General">
                  <c:v>838.1</c:v>
                </c:pt>
                <c:pt idx="1430" formatCode="General">
                  <c:v>941.5</c:v>
                </c:pt>
                <c:pt idx="1431" formatCode="General">
                  <c:v>1028</c:v>
                </c:pt>
                <c:pt idx="1432" formatCode="General">
                  <c:v>933.9</c:v>
                </c:pt>
                <c:pt idx="1433" formatCode="General">
                  <c:v>1060.2</c:v>
                </c:pt>
                <c:pt idx="1434" formatCode="General">
                  <c:v>821.8</c:v>
                </c:pt>
                <c:pt idx="1435" formatCode="General">
                  <c:v>1297.4000000000001</c:v>
                </c:pt>
                <c:pt idx="1436" formatCode="General">
                  <c:v>889.5</c:v>
                </c:pt>
                <c:pt idx="1437" formatCode="General">
                  <c:v>1080.8</c:v>
                </c:pt>
                <c:pt idx="1438" formatCode="General">
                  <c:v>1056.0999999999999</c:v>
                </c:pt>
                <c:pt idx="1439" formatCode="General">
                  <c:v>1182.9000000000001</c:v>
                </c:pt>
                <c:pt idx="1440" formatCode="General">
                  <c:v>1019.3</c:v>
                </c:pt>
                <c:pt idx="1441" formatCode="General">
                  <c:v>1092.7</c:v>
                </c:pt>
                <c:pt idx="1442" formatCode="General">
                  <c:v>941</c:v>
                </c:pt>
                <c:pt idx="1443" formatCode="General">
                  <c:v>1005.6</c:v>
                </c:pt>
                <c:pt idx="1444" formatCode="General">
                  <c:v>1067.8</c:v>
                </c:pt>
                <c:pt idx="1445" formatCode="General">
                  <c:v>771.8</c:v>
                </c:pt>
                <c:pt idx="1446" formatCode="General">
                  <c:v>839</c:v>
                </c:pt>
                <c:pt idx="1447" formatCode="General">
                  <c:v>1061.3</c:v>
                </c:pt>
                <c:pt idx="1448" formatCode="General">
                  <c:v>605.79999999999995</c:v>
                </c:pt>
                <c:pt idx="1449" formatCode="General">
                  <c:v>590.70000000000005</c:v>
                </c:pt>
                <c:pt idx="1450" formatCode="General">
                  <c:v>1002.8</c:v>
                </c:pt>
                <c:pt idx="1451" formatCode="General">
                  <c:v>743.2</c:v>
                </c:pt>
                <c:pt idx="1452" formatCode="General">
                  <c:v>586.9</c:v>
                </c:pt>
                <c:pt idx="1453" formatCode="General">
                  <c:v>963.4</c:v>
                </c:pt>
                <c:pt idx="1454" formatCode="General">
                  <c:v>469</c:v>
                </c:pt>
                <c:pt idx="1455" formatCode="General">
                  <c:v>1042.8</c:v>
                </c:pt>
                <c:pt idx="1456" formatCode="General">
                  <c:v>709.9</c:v>
                </c:pt>
                <c:pt idx="1457" formatCode="General">
                  <c:v>1019.3</c:v>
                </c:pt>
                <c:pt idx="1458" formatCode="General">
                  <c:v>917.6</c:v>
                </c:pt>
                <c:pt idx="1459" formatCode="General">
                  <c:v>634.9</c:v>
                </c:pt>
                <c:pt idx="1460" formatCode="General">
                  <c:v>1047.4000000000001</c:v>
                </c:pt>
                <c:pt idx="1461" formatCode="General">
                  <c:v>637.20000000000005</c:v>
                </c:pt>
                <c:pt idx="1462" formatCode="General">
                  <c:v>909.4</c:v>
                </c:pt>
                <c:pt idx="1463" formatCode="General">
                  <c:v>734.7</c:v>
                </c:pt>
                <c:pt idx="1464" formatCode="General">
                  <c:v>667.8</c:v>
                </c:pt>
                <c:pt idx="1465" formatCode="General">
                  <c:v>942.2</c:v>
                </c:pt>
                <c:pt idx="1466" formatCode="General">
                  <c:v>740.9</c:v>
                </c:pt>
                <c:pt idx="1467" formatCode="General">
                  <c:v>1104.8</c:v>
                </c:pt>
                <c:pt idx="1468" formatCode="General">
                  <c:v>646.79999999999995</c:v>
                </c:pt>
                <c:pt idx="1469" formatCode="General">
                  <c:v>1015.8</c:v>
                </c:pt>
                <c:pt idx="1470" formatCode="General">
                  <c:v>490.3</c:v>
                </c:pt>
                <c:pt idx="1471" formatCode="General">
                  <c:v>964.5</c:v>
                </c:pt>
                <c:pt idx="1472" formatCode="General">
                  <c:v>619.70000000000005</c:v>
                </c:pt>
                <c:pt idx="1473" formatCode="General">
                  <c:v>663.8</c:v>
                </c:pt>
                <c:pt idx="1474" formatCode="General">
                  <c:v>1050.5</c:v>
                </c:pt>
                <c:pt idx="1475" formatCode="General">
                  <c:v>637.6</c:v>
                </c:pt>
                <c:pt idx="1476" formatCode="General">
                  <c:v>881.7</c:v>
                </c:pt>
                <c:pt idx="1477" formatCode="General">
                  <c:v>659.7</c:v>
                </c:pt>
                <c:pt idx="1478" formatCode="General">
                  <c:v>631.4</c:v>
                </c:pt>
                <c:pt idx="1479" formatCode="General">
                  <c:v>616.4</c:v>
                </c:pt>
                <c:pt idx="1480" formatCode="General">
                  <c:v>885.6</c:v>
                </c:pt>
                <c:pt idx="1481" formatCode="General">
                  <c:v>828.7</c:v>
                </c:pt>
                <c:pt idx="1482" formatCode="General">
                  <c:v>715.7</c:v>
                </c:pt>
                <c:pt idx="1483" formatCode="General">
                  <c:v>914.6</c:v>
                </c:pt>
                <c:pt idx="1484" formatCode="General">
                  <c:v>682.4</c:v>
                </c:pt>
                <c:pt idx="1485" formatCode="General">
                  <c:v>1151.0999999999999</c:v>
                </c:pt>
                <c:pt idx="1486" formatCode="General">
                  <c:v>990.4</c:v>
                </c:pt>
                <c:pt idx="1487" formatCode="General">
                  <c:v>998.1</c:v>
                </c:pt>
                <c:pt idx="1488" formatCode="General">
                  <c:v>854.3</c:v>
                </c:pt>
                <c:pt idx="1489" formatCode="General">
                  <c:v>862.5</c:v>
                </c:pt>
                <c:pt idx="1490" formatCode="General">
                  <c:v>648.9</c:v>
                </c:pt>
                <c:pt idx="1491" formatCode="General">
                  <c:v>988.6</c:v>
                </c:pt>
                <c:pt idx="1492" formatCode="General">
                  <c:v>741.1</c:v>
                </c:pt>
                <c:pt idx="1493" formatCode="General">
                  <c:v>1011.7</c:v>
                </c:pt>
                <c:pt idx="1494" formatCode="General">
                  <c:v>964.6</c:v>
                </c:pt>
                <c:pt idx="1495" formatCode="General">
                  <c:v>945.2</c:v>
                </c:pt>
                <c:pt idx="1496" formatCode="General">
                  <c:v>829.2</c:v>
                </c:pt>
                <c:pt idx="1497" formatCode="General">
                  <c:v>1090.5999999999999</c:v>
                </c:pt>
                <c:pt idx="1498" formatCode="General">
                  <c:v>696.7</c:v>
                </c:pt>
                <c:pt idx="1499" formatCode="General">
                  <c:v>904.3</c:v>
                </c:pt>
                <c:pt idx="1500" formatCode="General">
                  <c:v>999.5</c:v>
                </c:pt>
                <c:pt idx="1501" formatCode="General">
                  <c:v>842.1</c:v>
                </c:pt>
                <c:pt idx="1502" formatCode="General">
                  <c:v>1045.8</c:v>
                </c:pt>
                <c:pt idx="1503" formatCode="General">
                  <c:v>666.6</c:v>
                </c:pt>
                <c:pt idx="1504" formatCode="General">
                  <c:v>1247.7</c:v>
                </c:pt>
                <c:pt idx="1505" formatCode="General">
                  <c:v>713.9</c:v>
                </c:pt>
                <c:pt idx="1506" formatCode="General">
                  <c:v>975.6</c:v>
                </c:pt>
                <c:pt idx="1507" formatCode="General">
                  <c:v>555.4</c:v>
                </c:pt>
                <c:pt idx="1508" formatCode="General">
                  <c:v>1026.0999999999999</c:v>
                </c:pt>
                <c:pt idx="1509" formatCode="General">
                  <c:v>762.5</c:v>
                </c:pt>
                <c:pt idx="1510" formatCode="General">
                  <c:v>1088.0999999999999</c:v>
                </c:pt>
                <c:pt idx="1511" formatCode="General">
                  <c:v>574.20000000000005</c:v>
                </c:pt>
                <c:pt idx="1512" formatCode="General">
                  <c:v>966.9</c:v>
                </c:pt>
                <c:pt idx="1513" formatCode="General">
                  <c:v>699.2</c:v>
                </c:pt>
                <c:pt idx="1514" formatCode="General">
                  <c:v>676.9</c:v>
                </c:pt>
                <c:pt idx="1515" formatCode="General">
                  <c:v>890.4</c:v>
                </c:pt>
                <c:pt idx="1516" formatCode="General">
                  <c:v>630</c:v>
                </c:pt>
                <c:pt idx="1517" formatCode="General">
                  <c:v>713.2</c:v>
                </c:pt>
                <c:pt idx="1518" formatCode="General">
                  <c:v>985.2</c:v>
                </c:pt>
                <c:pt idx="1519" formatCode="General">
                  <c:v>873.6</c:v>
                </c:pt>
                <c:pt idx="1520" formatCode="General">
                  <c:v>775.6</c:v>
                </c:pt>
              </c:numCache>
            </c:numRef>
          </c:val>
          <c:extLst>
            <c:ext xmlns:c16="http://schemas.microsoft.com/office/drawing/2014/chart" uri="{C3380CC4-5D6E-409C-BE32-E72D297353CC}">
              <c16:uniqueId val="{00000008-F554-482F-B800-E10A3A8DBF89}"/>
            </c:ext>
          </c:extLst>
        </c:ser>
        <c:dLbls>
          <c:showLegendKey val="0"/>
          <c:showVal val="0"/>
          <c:showCatName val="0"/>
          <c:showSerName val="0"/>
          <c:showPercent val="0"/>
          <c:showBubbleSize val="0"/>
        </c:dLbls>
        <c:gapWidth val="150"/>
        <c:axId val="491055320"/>
        <c:axId val="1"/>
      </c:barChart>
      <c:lineChart>
        <c:grouping val="standard"/>
        <c:varyColors val="0"/>
        <c:ser>
          <c:idx val="17"/>
          <c:order val="10"/>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09-F554-482F-B800-E10A3A8DBF89}"/>
            </c:ext>
          </c:extLst>
        </c:ser>
        <c:ser>
          <c:idx val="18"/>
          <c:order val="11"/>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0A-F554-482F-B800-E10A3A8DBF89}"/>
            </c:ext>
          </c:extLst>
        </c:ser>
        <c:ser>
          <c:idx val="19"/>
          <c:order val="12"/>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0B-F554-482F-B800-E10A3A8DBF89}"/>
            </c:ext>
          </c:extLst>
        </c:ser>
        <c:ser>
          <c:idx val="20"/>
          <c:order val="13"/>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0C-F554-482F-B800-E10A3A8DBF89}"/>
            </c:ext>
          </c:extLst>
        </c:ser>
        <c:ser>
          <c:idx val="21"/>
          <c:order val="14"/>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0D-F554-482F-B800-E10A3A8DBF89}"/>
            </c:ext>
          </c:extLst>
        </c:ser>
        <c:ser>
          <c:idx val="22"/>
          <c:order val="15"/>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0E-F554-482F-B800-E10A3A8DBF89}"/>
            </c:ext>
          </c:extLst>
        </c:ser>
        <c:ser>
          <c:idx val="23"/>
          <c:order val="16"/>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0F-F554-482F-B800-E10A3A8DBF89}"/>
            </c:ext>
          </c:extLst>
        </c:ser>
        <c:ser>
          <c:idx val="24"/>
          <c:order val="17"/>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0-F554-482F-B800-E10A3A8DBF89}"/>
            </c:ext>
          </c:extLst>
        </c:ser>
        <c:dLbls>
          <c:showLegendKey val="0"/>
          <c:showVal val="0"/>
          <c:showCatName val="0"/>
          <c:showSerName val="0"/>
          <c:showPercent val="0"/>
          <c:showBubbleSize val="0"/>
        </c:dLbls>
        <c:marker val="1"/>
        <c:smooth val="0"/>
        <c:axId val="3"/>
        <c:axId val="4"/>
      </c:lineChart>
      <c:lineChart>
        <c:grouping val="standard"/>
        <c:varyColors val="0"/>
        <c:ser>
          <c:idx val="15"/>
          <c:order val="9"/>
          <c:tx>
            <c:strRef>
              <c:f>'Dam level production and %'!$R$2</c:f>
              <c:strCache>
                <c:ptCount val="1"/>
                <c:pt idx="0">
                  <c:v>dam %</c:v>
                </c:pt>
              </c:strCache>
            </c:strRef>
          </c:tx>
          <c:spPr>
            <a:ln w="25400">
              <a:solidFill>
                <a:srgbClr val="FF0000"/>
              </a:solidFill>
              <a:prstDash val="solid"/>
            </a:ln>
          </c:spPr>
          <c:marker>
            <c:symbol val="none"/>
          </c:marker>
          <c:cat>
            <c:numRef>
              <c:f>'Dam level production and %'!$A$551:$B$2101</c:f>
              <c:numCache>
                <c:formatCode>[$-C09]dddd\,\ d\ mmmm\ yyyy;@</c:formatCode>
                <c:ptCount val="1551"/>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pt idx="1400">
                  <c:v>45200</c:v>
                </c:pt>
                <c:pt idx="1401">
                  <c:v>45201</c:v>
                </c:pt>
                <c:pt idx="1402">
                  <c:v>45202</c:v>
                </c:pt>
                <c:pt idx="1403">
                  <c:v>45203</c:v>
                </c:pt>
                <c:pt idx="1404">
                  <c:v>45204</c:v>
                </c:pt>
                <c:pt idx="1405">
                  <c:v>45205</c:v>
                </c:pt>
                <c:pt idx="1406">
                  <c:v>45206</c:v>
                </c:pt>
                <c:pt idx="1407">
                  <c:v>45207</c:v>
                </c:pt>
                <c:pt idx="1408">
                  <c:v>45208</c:v>
                </c:pt>
                <c:pt idx="1409">
                  <c:v>45209</c:v>
                </c:pt>
                <c:pt idx="1410">
                  <c:v>45210</c:v>
                </c:pt>
                <c:pt idx="1411">
                  <c:v>45211</c:v>
                </c:pt>
                <c:pt idx="1412">
                  <c:v>45212</c:v>
                </c:pt>
                <c:pt idx="1413">
                  <c:v>45213</c:v>
                </c:pt>
                <c:pt idx="1414">
                  <c:v>45214</c:v>
                </c:pt>
                <c:pt idx="1415">
                  <c:v>45215</c:v>
                </c:pt>
                <c:pt idx="1416">
                  <c:v>45216</c:v>
                </c:pt>
                <c:pt idx="1417">
                  <c:v>45217</c:v>
                </c:pt>
                <c:pt idx="1418">
                  <c:v>45218</c:v>
                </c:pt>
                <c:pt idx="1419">
                  <c:v>45219</c:v>
                </c:pt>
                <c:pt idx="1420">
                  <c:v>45220</c:v>
                </c:pt>
                <c:pt idx="1421">
                  <c:v>45221</c:v>
                </c:pt>
                <c:pt idx="1422">
                  <c:v>45222</c:v>
                </c:pt>
                <c:pt idx="1423">
                  <c:v>45223</c:v>
                </c:pt>
                <c:pt idx="1424">
                  <c:v>45224</c:v>
                </c:pt>
                <c:pt idx="1425">
                  <c:v>45225</c:v>
                </c:pt>
                <c:pt idx="1426">
                  <c:v>45226</c:v>
                </c:pt>
                <c:pt idx="1427">
                  <c:v>45227</c:v>
                </c:pt>
                <c:pt idx="1428">
                  <c:v>45228</c:v>
                </c:pt>
                <c:pt idx="1429">
                  <c:v>45229</c:v>
                </c:pt>
                <c:pt idx="1430">
                  <c:v>45230</c:v>
                </c:pt>
                <c:pt idx="1431">
                  <c:v>45231</c:v>
                </c:pt>
                <c:pt idx="1432">
                  <c:v>45232</c:v>
                </c:pt>
                <c:pt idx="1433">
                  <c:v>45233</c:v>
                </c:pt>
                <c:pt idx="1434">
                  <c:v>45234</c:v>
                </c:pt>
                <c:pt idx="1435">
                  <c:v>45235</c:v>
                </c:pt>
                <c:pt idx="1436">
                  <c:v>45236</c:v>
                </c:pt>
                <c:pt idx="1437">
                  <c:v>45237</c:v>
                </c:pt>
                <c:pt idx="1438">
                  <c:v>45238</c:v>
                </c:pt>
                <c:pt idx="1439">
                  <c:v>45239</c:v>
                </c:pt>
                <c:pt idx="1440">
                  <c:v>45240</c:v>
                </c:pt>
                <c:pt idx="1441">
                  <c:v>45241</c:v>
                </c:pt>
                <c:pt idx="1442">
                  <c:v>45242</c:v>
                </c:pt>
                <c:pt idx="1443">
                  <c:v>45243</c:v>
                </c:pt>
                <c:pt idx="1444">
                  <c:v>45244</c:v>
                </c:pt>
                <c:pt idx="1445">
                  <c:v>45245</c:v>
                </c:pt>
                <c:pt idx="1446">
                  <c:v>45246</c:v>
                </c:pt>
                <c:pt idx="1447">
                  <c:v>45247</c:v>
                </c:pt>
                <c:pt idx="1448">
                  <c:v>45248</c:v>
                </c:pt>
                <c:pt idx="1449">
                  <c:v>45250</c:v>
                </c:pt>
                <c:pt idx="1450">
                  <c:v>45251</c:v>
                </c:pt>
                <c:pt idx="1451">
                  <c:v>45252</c:v>
                </c:pt>
                <c:pt idx="1452">
                  <c:v>45253</c:v>
                </c:pt>
                <c:pt idx="1453">
                  <c:v>45254</c:v>
                </c:pt>
                <c:pt idx="1454">
                  <c:v>45255</c:v>
                </c:pt>
                <c:pt idx="1455">
                  <c:v>45256</c:v>
                </c:pt>
                <c:pt idx="1456">
                  <c:v>45257</c:v>
                </c:pt>
                <c:pt idx="1457">
                  <c:v>45258</c:v>
                </c:pt>
                <c:pt idx="1458">
                  <c:v>45259</c:v>
                </c:pt>
                <c:pt idx="1459">
                  <c:v>45260</c:v>
                </c:pt>
                <c:pt idx="1460">
                  <c:v>45261</c:v>
                </c:pt>
                <c:pt idx="1461">
                  <c:v>45262</c:v>
                </c:pt>
                <c:pt idx="1462">
                  <c:v>45263</c:v>
                </c:pt>
                <c:pt idx="1463">
                  <c:v>45264</c:v>
                </c:pt>
                <c:pt idx="1464">
                  <c:v>45265</c:v>
                </c:pt>
                <c:pt idx="1465">
                  <c:v>45266</c:v>
                </c:pt>
                <c:pt idx="1466">
                  <c:v>45267</c:v>
                </c:pt>
                <c:pt idx="1467">
                  <c:v>45268</c:v>
                </c:pt>
                <c:pt idx="1468">
                  <c:v>45269</c:v>
                </c:pt>
                <c:pt idx="1469">
                  <c:v>45270</c:v>
                </c:pt>
                <c:pt idx="1470">
                  <c:v>45271</c:v>
                </c:pt>
                <c:pt idx="1471">
                  <c:v>45272</c:v>
                </c:pt>
                <c:pt idx="1472">
                  <c:v>45273</c:v>
                </c:pt>
                <c:pt idx="1473">
                  <c:v>45274</c:v>
                </c:pt>
                <c:pt idx="1474">
                  <c:v>45275</c:v>
                </c:pt>
                <c:pt idx="1475">
                  <c:v>45276</c:v>
                </c:pt>
                <c:pt idx="1476">
                  <c:v>45277</c:v>
                </c:pt>
                <c:pt idx="1477">
                  <c:v>45278</c:v>
                </c:pt>
                <c:pt idx="1478">
                  <c:v>45279</c:v>
                </c:pt>
                <c:pt idx="1479">
                  <c:v>45280</c:v>
                </c:pt>
                <c:pt idx="1480">
                  <c:v>45281</c:v>
                </c:pt>
                <c:pt idx="1481">
                  <c:v>45282</c:v>
                </c:pt>
                <c:pt idx="1482">
                  <c:v>45283</c:v>
                </c:pt>
                <c:pt idx="1483">
                  <c:v>45284</c:v>
                </c:pt>
                <c:pt idx="1484">
                  <c:v>45285</c:v>
                </c:pt>
                <c:pt idx="1485">
                  <c:v>45286</c:v>
                </c:pt>
                <c:pt idx="1486">
                  <c:v>45287</c:v>
                </c:pt>
                <c:pt idx="1487">
                  <c:v>45288</c:v>
                </c:pt>
                <c:pt idx="1488">
                  <c:v>45289</c:v>
                </c:pt>
                <c:pt idx="1489">
                  <c:v>45290</c:v>
                </c:pt>
                <c:pt idx="1490">
                  <c:v>45291</c:v>
                </c:pt>
                <c:pt idx="1491">
                  <c:v>45292</c:v>
                </c:pt>
                <c:pt idx="1492">
                  <c:v>45293</c:v>
                </c:pt>
                <c:pt idx="1493">
                  <c:v>45294</c:v>
                </c:pt>
                <c:pt idx="1494">
                  <c:v>45295</c:v>
                </c:pt>
                <c:pt idx="1495">
                  <c:v>45296</c:v>
                </c:pt>
                <c:pt idx="1496">
                  <c:v>45297</c:v>
                </c:pt>
                <c:pt idx="1497">
                  <c:v>45298</c:v>
                </c:pt>
                <c:pt idx="1498">
                  <c:v>45299</c:v>
                </c:pt>
                <c:pt idx="1499">
                  <c:v>45300</c:v>
                </c:pt>
                <c:pt idx="1500">
                  <c:v>45301</c:v>
                </c:pt>
                <c:pt idx="1501">
                  <c:v>45302</c:v>
                </c:pt>
                <c:pt idx="1502">
                  <c:v>45303</c:v>
                </c:pt>
                <c:pt idx="1503">
                  <c:v>45304</c:v>
                </c:pt>
                <c:pt idx="1504">
                  <c:v>45305</c:v>
                </c:pt>
                <c:pt idx="1505">
                  <c:v>45306</c:v>
                </c:pt>
                <c:pt idx="1506">
                  <c:v>45307</c:v>
                </c:pt>
                <c:pt idx="1507">
                  <c:v>45308</c:v>
                </c:pt>
                <c:pt idx="1508">
                  <c:v>45309</c:v>
                </c:pt>
                <c:pt idx="1509">
                  <c:v>45310</c:v>
                </c:pt>
                <c:pt idx="1510">
                  <c:v>45311</c:v>
                </c:pt>
                <c:pt idx="1511">
                  <c:v>45312</c:v>
                </c:pt>
                <c:pt idx="1512">
                  <c:v>45313</c:v>
                </c:pt>
                <c:pt idx="1513">
                  <c:v>45314</c:v>
                </c:pt>
                <c:pt idx="1514">
                  <c:v>45315</c:v>
                </c:pt>
                <c:pt idx="1515">
                  <c:v>45316</c:v>
                </c:pt>
                <c:pt idx="1516">
                  <c:v>45317</c:v>
                </c:pt>
                <c:pt idx="1517">
                  <c:v>45318</c:v>
                </c:pt>
                <c:pt idx="1518">
                  <c:v>45319</c:v>
                </c:pt>
                <c:pt idx="1519">
                  <c:v>45320</c:v>
                </c:pt>
                <c:pt idx="1520">
                  <c:v>45321</c:v>
                </c:pt>
                <c:pt idx="1521">
                  <c:v>45322</c:v>
                </c:pt>
                <c:pt idx="1522">
                  <c:v>45323</c:v>
                </c:pt>
                <c:pt idx="1523">
                  <c:v>45324</c:v>
                </c:pt>
                <c:pt idx="1524">
                  <c:v>45325</c:v>
                </c:pt>
                <c:pt idx="1525">
                  <c:v>45326</c:v>
                </c:pt>
                <c:pt idx="1526">
                  <c:v>45327</c:v>
                </c:pt>
                <c:pt idx="1527">
                  <c:v>45328</c:v>
                </c:pt>
                <c:pt idx="1528">
                  <c:v>45329</c:v>
                </c:pt>
                <c:pt idx="1529">
                  <c:v>45330</c:v>
                </c:pt>
                <c:pt idx="1530">
                  <c:v>45331</c:v>
                </c:pt>
                <c:pt idx="1531">
                  <c:v>45332</c:v>
                </c:pt>
                <c:pt idx="1532">
                  <c:v>45333</c:v>
                </c:pt>
                <c:pt idx="1533">
                  <c:v>45334</c:v>
                </c:pt>
                <c:pt idx="1534">
                  <c:v>45335</c:v>
                </c:pt>
                <c:pt idx="1535">
                  <c:v>45336</c:v>
                </c:pt>
                <c:pt idx="1536">
                  <c:v>45337</c:v>
                </c:pt>
                <c:pt idx="1537">
                  <c:v>45338</c:v>
                </c:pt>
                <c:pt idx="1538">
                  <c:v>45339</c:v>
                </c:pt>
                <c:pt idx="1539">
                  <c:v>45340</c:v>
                </c:pt>
                <c:pt idx="1540">
                  <c:v>45341</c:v>
                </c:pt>
                <c:pt idx="1541">
                  <c:v>45342</c:v>
                </c:pt>
                <c:pt idx="1542">
                  <c:v>45343</c:v>
                </c:pt>
                <c:pt idx="1543">
                  <c:v>45344</c:v>
                </c:pt>
                <c:pt idx="1544">
                  <c:v>45345</c:v>
                </c:pt>
                <c:pt idx="1545">
                  <c:v>45346</c:v>
                </c:pt>
                <c:pt idx="1546">
                  <c:v>45347</c:v>
                </c:pt>
                <c:pt idx="1547">
                  <c:v>45348</c:v>
                </c:pt>
                <c:pt idx="1548">
                  <c:v>45349</c:v>
                </c:pt>
                <c:pt idx="1549">
                  <c:v>45350</c:v>
                </c:pt>
                <c:pt idx="1550">
                  <c:v>45351</c:v>
                </c:pt>
              </c:numCache>
            </c:numRef>
          </c:cat>
          <c:val>
            <c:numRef>
              <c:f>'Dam level production and %'!$R$551:$R$2101</c:f>
              <c:numCache>
                <c:formatCode>0%</c:formatCode>
                <c:ptCount val="1551"/>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pt idx="1400">
                  <c:v>0.86309597047062458</c:v>
                </c:pt>
                <c:pt idx="1401">
                  <c:v>0.85974700092279321</c:v>
                </c:pt>
                <c:pt idx="1402">
                  <c:v>0.85807251614887747</c:v>
                </c:pt>
                <c:pt idx="1403">
                  <c:v>0.85304906182713025</c:v>
                </c:pt>
                <c:pt idx="1404">
                  <c:v>0.85304906182713025</c:v>
                </c:pt>
                <c:pt idx="1405">
                  <c:v>0.85304906182713025</c:v>
                </c:pt>
                <c:pt idx="1406">
                  <c:v>0.85137457705321451</c:v>
                </c:pt>
                <c:pt idx="1407">
                  <c:v>0.85137457705321451</c:v>
                </c:pt>
                <c:pt idx="1408">
                  <c:v>0.84970009227929877</c:v>
                </c:pt>
                <c:pt idx="1409">
                  <c:v>0.84802560750538314</c:v>
                </c:pt>
                <c:pt idx="1410">
                  <c:v>0.84300215318363592</c:v>
                </c:pt>
                <c:pt idx="1411">
                  <c:v>0.84132766840972018</c:v>
                </c:pt>
                <c:pt idx="1412">
                  <c:v>0.83630421408797306</c:v>
                </c:pt>
                <c:pt idx="1413">
                  <c:v>0.83630421408797306</c:v>
                </c:pt>
                <c:pt idx="1414">
                  <c:v>0.83630421408797306</c:v>
                </c:pt>
                <c:pt idx="1415">
                  <c:v>0.8296062749923101</c:v>
                </c:pt>
                <c:pt idx="1416">
                  <c:v>0.8296062749923101</c:v>
                </c:pt>
                <c:pt idx="1417">
                  <c:v>0.81955936634881577</c:v>
                </c:pt>
                <c:pt idx="1418">
                  <c:v>0.81955936634881577</c:v>
                </c:pt>
                <c:pt idx="1419">
                  <c:v>0.81621039680098439</c:v>
                </c:pt>
                <c:pt idx="1420">
                  <c:v>0.81453591202706865</c:v>
                </c:pt>
                <c:pt idx="1421">
                  <c:v>0.81453591202706865</c:v>
                </c:pt>
                <c:pt idx="1422">
                  <c:v>0.80951245770532154</c:v>
                </c:pt>
                <c:pt idx="1423">
                  <c:v>0.80281451860965869</c:v>
                </c:pt>
                <c:pt idx="1424">
                  <c:v>0.79946554906182721</c:v>
                </c:pt>
                <c:pt idx="1425">
                  <c:v>0.79946554906182721</c:v>
                </c:pt>
                <c:pt idx="1426">
                  <c:v>0.79946554906182721</c:v>
                </c:pt>
                <c:pt idx="1427">
                  <c:v>0.79611657951399584</c:v>
                </c:pt>
                <c:pt idx="1428">
                  <c:v>0.79611657951399584</c:v>
                </c:pt>
                <c:pt idx="1429">
                  <c:v>0.79611657951399584</c:v>
                </c:pt>
                <c:pt idx="1430">
                  <c:v>0.79276760996616435</c:v>
                </c:pt>
                <c:pt idx="1431">
                  <c:v>0.78941864041833298</c:v>
                </c:pt>
                <c:pt idx="1432">
                  <c:v>0.7860696708705015</c:v>
                </c:pt>
                <c:pt idx="1433">
                  <c:v>0.78272070132267002</c:v>
                </c:pt>
                <c:pt idx="1434">
                  <c:v>0.77937173177483865</c:v>
                </c:pt>
                <c:pt idx="1435">
                  <c:v>0.78272070132267002</c:v>
                </c:pt>
                <c:pt idx="1436">
                  <c:v>0.7860696708705015</c:v>
                </c:pt>
                <c:pt idx="1437">
                  <c:v>0.78272070132267002</c:v>
                </c:pt>
                <c:pt idx="1438">
                  <c:v>0.78104621654875439</c:v>
                </c:pt>
                <c:pt idx="1439">
                  <c:v>0.78272070132267002</c:v>
                </c:pt>
                <c:pt idx="1440">
                  <c:v>0.78272070132267002</c:v>
                </c:pt>
                <c:pt idx="1441">
                  <c:v>0.78272070132267002</c:v>
                </c:pt>
                <c:pt idx="1442">
                  <c:v>0.77937173177483865</c:v>
                </c:pt>
                <c:pt idx="1443">
                  <c:v>0.77769724700092291</c:v>
                </c:pt>
                <c:pt idx="1444">
                  <c:v>0.76932482313134432</c:v>
                </c:pt>
                <c:pt idx="1445">
                  <c:v>0.76765033835742846</c:v>
                </c:pt>
                <c:pt idx="1446">
                  <c:v>0.76597585358351283</c:v>
                </c:pt>
                <c:pt idx="1447">
                  <c:v>0.76597585358351283</c:v>
                </c:pt>
                <c:pt idx="1448">
                  <c:v>0.76262688403568135</c:v>
                </c:pt>
                <c:pt idx="1449">
                  <c:v>0.76430136880959709</c:v>
                </c:pt>
                <c:pt idx="1450">
                  <c:v>0.76597585358351283</c:v>
                </c:pt>
                <c:pt idx="1451">
                  <c:v>0.76932482313134432</c:v>
                </c:pt>
                <c:pt idx="1452">
                  <c:v>0.76932482313134432</c:v>
                </c:pt>
                <c:pt idx="1453">
                  <c:v>0.76932482313134432</c:v>
                </c:pt>
                <c:pt idx="1454">
                  <c:v>0.76932482313134432</c:v>
                </c:pt>
                <c:pt idx="1455">
                  <c:v>0.76597585358351283</c:v>
                </c:pt>
                <c:pt idx="1456">
                  <c:v>0.76597585358351283</c:v>
                </c:pt>
                <c:pt idx="1457">
                  <c:v>0.76597585358351283</c:v>
                </c:pt>
                <c:pt idx="1458">
                  <c:v>0.76262688403568135</c:v>
                </c:pt>
                <c:pt idx="1459">
                  <c:v>0.76262688403568135</c:v>
                </c:pt>
                <c:pt idx="1460">
                  <c:v>0.75927791448784987</c:v>
                </c:pt>
                <c:pt idx="1461">
                  <c:v>0.75927791448784987</c:v>
                </c:pt>
                <c:pt idx="1462">
                  <c:v>0.75760342971393424</c:v>
                </c:pt>
                <c:pt idx="1463">
                  <c:v>0.75257997539218702</c:v>
                </c:pt>
                <c:pt idx="1464">
                  <c:v>0.75257997539218702</c:v>
                </c:pt>
                <c:pt idx="1465">
                  <c:v>0.74923100584435565</c:v>
                </c:pt>
                <c:pt idx="1466">
                  <c:v>0.74645109197170112</c:v>
                </c:pt>
                <c:pt idx="1467">
                  <c:v>0.74645109197170112</c:v>
                </c:pt>
                <c:pt idx="1468">
                  <c:v>0.74367117809904648</c:v>
                </c:pt>
                <c:pt idx="1469">
                  <c:v>0.73811135035373732</c:v>
                </c:pt>
                <c:pt idx="1470">
                  <c:v>0.73811135035373732</c:v>
                </c:pt>
                <c:pt idx="1471">
                  <c:v>0.73533143648108279</c:v>
                </c:pt>
                <c:pt idx="1472">
                  <c:v>0.72977160873577362</c:v>
                </c:pt>
                <c:pt idx="1473">
                  <c:v>0.72977160873577362</c:v>
                </c:pt>
                <c:pt idx="1474">
                  <c:v>0.72977160873577362</c:v>
                </c:pt>
                <c:pt idx="1475">
                  <c:v>0.72977160873577362</c:v>
                </c:pt>
                <c:pt idx="1476">
                  <c:v>0.72143186711780993</c:v>
                </c:pt>
                <c:pt idx="1477">
                  <c:v>0.72143186711780993</c:v>
                </c:pt>
                <c:pt idx="1478">
                  <c:v>0.72143186711780993</c:v>
                </c:pt>
                <c:pt idx="1479">
                  <c:v>0.71865195324515541</c:v>
                </c:pt>
                <c:pt idx="1480">
                  <c:v>0.72421178099046446</c:v>
                </c:pt>
                <c:pt idx="1481">
                  <c:v>0.72838165179944636</c:v>
                </c:pt>
                <c:pt idx="1482">
                  <c:v>0.72838165179944636</c:v>
                </c:pt>
                <c:pt idx="1483">
                  <c:v>0.73811135035373732</c:v>
                </c:pt>
                <c:pt idx="1484">
                  <c:v>0.74923100584435565</c:v>
                </c:pt>
                <c:pt idx="1485">
                  <c:v>0.74923100584435565</c:v>
                </c:pt>
                <c:pt idx="1486">
                  <c:v>0.74923100584435565</c:v>
                </c:pt>
                <c:pt idx="1487">
                  <c:v>0.74923100584435565</c:v>
                </c:pt>
                <c:pt idx="1488">
                  <c:v>0.74367117809904648</c:v>
                </c:pt>
                <c:pt idx="1489">
                  <c:v>0.74089126422639184</c:v>
                </c:pt>
                <c:pt idx="1490">
                  <c:v>0.74089126422639184</c:v>
                </c:pt>
                <c:pt idx="1491">
                  <c:v>0.74089126422639184</c:v>
                </c:pt>
                <c:pt idx="1492">
                  <c:v>0.76597585358351283</c:v>
                </c:pt>
                <c:pt idx="1493">
                  <c:v>0.73811135035373732</c:v>
                </c:pt>
                <c:pt idx="1494">
                  <c:v>0.73811135035373732</c:v>
                </c:pt>
                <c:pt idx="1495">
                  <c:v>0.73533143648108279</c:v>
                </c:pt>
                <c:pt idx="1496">
                  <c:v>0.73533143648108279</c:v>
                </c:pt>
                <c:pt idx="1497">
                  <c:v>0.73394147954475553</c:v>
                </c:pt>
                <c:pt idx="1498">
                  <c:v>0.72838165179944636</c:v>
                </c:pt>
                <c:pt idx="1499">
                  <c:v>0.72838165179944636</c:v>
                </c:pt>
                <c:pt idx="1500">
                  <c:v>0.79109312519224861</c:v>
                </c:pt>
                <c:pt idx="1501">
                  <c:v>0.79946554906182721</c:v>
                </c:pt>
                <c:pt idx="1502">
                  <c:v>0.79946554906182721</c:v>
                </c:pt>
                <c:pt idx="1503">
                  <c:v>0.79779106428791158</c:v>
                </c:pt>
                <c:pt idx="1504">
                  <c:v>0.79611657951399584</c:v>
                </c:pt>
                <c:pt idx="1505">
                  <c:v>0.79611657951399584</c:v>
                </c:pt>
                <c:pt idx="1506">
                  <c:v>0.79611657951399584</c:v>
                </c:pt>
                <c:pt idx="1507">
                  <c:v>0.79276760996616435</c:v>
                </c:pt>
                <c:pt idx="1508">
                  <c:v>0.80616348815749006</c:v>
                </c:pt>
                <c:pt idx="1509">
                  <c:v>0.80616348815749006</c:v>
                </c:pt>
                <c:pt idx="1510">
                  <c:v>0.85639803137496173</c:v>
                </c:pt>
                <c:pt idx="1511">
                  <c:v>0.85974700092279321</c:v>
                </c:pt>
                <c:pt idx="1512">
                  <c:v>0.85974700092279321</c:v>
                </c:pt>
                <c:pt idx="1513">
                  <c:v>0.85974700092279321</c:v>
                </c:pt>
                <c:pt idx="1514">
                  <c:v>0.85974700092279321</c:v>
                </c:pt>
                <c:pt idx="1515">
                  <c:v>0.85639803137496173</c:v>
                </c:pt>
                <c:pt idx="1516">
                  <c:v>0.85304906182713025</c:v>
                </c:pt>
                <c:pt idx="1517">
                  <c:v>0.85304906182713025</c:v>
                </c:pt>
                <c:pt idx="1518">
                  <c:v>0.85974700092279321</c:v>
                </c:pt>
                <c:pt idx="1519">
                  <c:v>0.85974700092279321</c:v>
                </c:pt>
                <c:pt idx="1520">
                  <c:v>0.85639803137496173</c:v>
                </c:pt>
                <c:pt idx="1521">
                  <c:v>0.85639803137496173</c:v>
                </c:pt>
                <c:pt idx="1522">
                  <c:v>0.85304906182713025</c:v>
                </c:pt>
                <c:pt idx="1523">
                  <c:v>0.85304906182713025</c:v>
                </c:pt>
                <c:pt idx="1524">
                  <c:v>0.84970009227929877</c:v>
                </c:pt>
                <c:pt idx="1525">
                  <c:v>0.84970009227929877</c:v>
                </c:pt>
                <c:pt idx="1526">
                  <c:v>0.84802560750538314</c:v>
                </c:pt>
                <c:pt idx="1527">
                  <c:v>0.84802560750538314</c:v>
                </c:pt>
                <c:pt idx="1528">
                  <c:v>0.83965318363580455</c:v>
                </c:pt>
                <c:pt idx="1529">
                  <c:v>0.83965318363580455</c:v>
                </c:pt>
                <c:pt idx="1530">
                  <c:v>0.83630421408797306</c:v>
                </c:pt>
                <c:pt idx="1531">
                  <c:v>0.83295524454014158</c:v>
                </c:pt>
                <c:pt idx="1532">
                  <c:v>0.8296062749923101</c:v>
                </c:pt>
                <c:pt idx="1533">
                  <c:v>0.82625730544447873</c:v>
                </c:pt>
                <c:pt idx="1534">
                  <c:v>0.82625730544447873</c:v>
                </c:pt>
                <c:pt idx="1535">
                  <c:v>0.82290833589664725</c:v>
                </c:pt>
                <c:pt idx="1536">
                  <c:v>0.82290833589664725</c:v>
                </c:pt>
                <c:pt idx="1537">
                  <c:v>0.81955936634881577</c:v>
                </c:pt>
                <c:pt idx="1538">
                  <c:v>0.81955936634881577</c:v>
                </c:pt>
                <c:pt idx="1539">
                  <c:v>0.81621039680098439</c:v>
                </c:pt>
                <c:pt idx="1540">
                  <c:v>0.81286142725315291</c:v>
                </c:pt>
                <c:pt idx="1541">
                  <c:v>0.81286142725315291</c:v>
                </c:pt>
                <c:pt idx="1542">
                  <c:v>0.80951245770532154</c:v>
                </c:pt>
                <c:pt idx="1543">
                  <c:v>0.80951245770532154</c:v>
                </c:pt>
                <c:pt idx="1544">
                  <c:v>0.81286142725315291</c:v>
                </c:pt>
                <c:pt idx="1545">
                  <c:v>0.81286142725315291</c:v>
                </c:pt>
                <c:pt idx="1546">
                  <c:v>0.88643451587545719</c:v>
                </c:pt>
                <c:pt idx="1547">
                  <c:v>0.92861598140743007</c:v>
                </c:pt>
                <c:pt idx="1548">
                  <c:v>0.92861598140743007</c:v>
                </c:pt>
                <c:pt idx="1549">
                  <c:v>0.92699361734850805</c:v>
                </c:pt>
                <c:pt idx="1550">
                  <c:v>0.92537125328958603</c:v>
                </c:pt>
              </c:numCache>
            </c:numRef>
          </c:val>
          <c:smooth val="0"/>
          <c:extLst>
            <c:ext xmlns:c16="http://schemas.microsoft.com/office/drawing/2014/chart" uri="{C3380CC4-5D6E-409C-BE32-E72D297353CC}">
              <c16:uniqueId val="{00000011-F554-482F-B800-E10A3A8DBF89}"/>
            </c:ext>
          </c:extLst>
        </c:ser>
        <c:dLbls>
          <c:showLegendKey val="0"/>
          <c:showVal val="0"/>
          <c:showCatName val="0"/>
          <c:showSerName val="0"/>
          <c:showPercent val="0"/>
          <c:showBubbleSize val="0"/>
        </c:dLbls>
        <c:marker val="1"/>
        <c:smooth val="0"/>
        <c:axId val="3"/>
        <c:axId val="4"/>
      </c:lineChart>
      <c:dateAx>
        <c:axId val="491055320"/>
        <c:scaling>
          <c:orientation val="minMax"/>
          <c:max val="45322"/>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91055320"/>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8.6519567575976175E-2"/>
          <c:y val="2.4251651801443369E-2"/>
          <c:w val="0.29559599576814316"/>
          <c:h val="6.7799353135156754E-2"/>
        </c:manualLayout>
      </c:layout>
      <c:overlay val="0"/>
      <c:spPr>
        <a:noFill/>
        <a:ln w="25400">
          <a:noFill/>
        </a:ln>
      </c:spPr>
      <c:txPr>
        <a:bodyPr/>
        <a:lstStyle/>
        <a:p>
          <a:pPr>
            <a:defRPr sz="8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0.97</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8.0</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260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&lt;0.02</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a:t>
          </a:r>
          <a:r>
            <a:rPr lang="en-AU" sz="900" b="1" i="0"/>
            <a:t>0.094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0.0048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180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8.0</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260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180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0.97</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0.0048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a:t>
          </a:r>
          <a:r>
            <a:rPr lang="en-AU" sz="900" b="1" i="0" kern="1200"/>
            <a:t>0.094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&lt;0.02</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665</Words>
  <Characters>3595</Characters>
  <Application>Microsoft Office Word</Application>
  <DocSecurity>0</DocSecurity>
  <Lines>224</Lines>
  <Paragraphs>163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Gillian Marchant</cp:lastModifiedBy>
  <cp:revision>2</cp:revision>
  <cp:lastPrinted>2020-04-17T01:08:00Z</cp:lastPrinted>
  <dcterms:created xsi:type="dcterms:W3CDTF">2024-07-12T00:49:00Z</dcterms:created>
  <dcterms:modified xsi:type="dcterms:W3CDTF">2024-07-12T00:49:00Z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