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14219057" w14:textId="5A169DB9" w:rsidR="00D77E15" w:rsidRPr="003E1B11" w:rsidRDefault="003E1B11" w:rsidP="003E1B11">
      <w:pPr>
        <w:spacing w:after="240" w:line="240" w:lineRule="auto"/>
        <w:rPr>
          <w:rFonts w:ascii="Verdana" w:hAnsi="Verdana"/>
          <w:sz w:val="20"/>
          <w:szCs w:val="24"/>
        </w:rPr>
      </w:pPr>
      <w:r>
        <w:rPr>
          <w:rFonts w:ascii="Verdana" w:hAnsi="Verdana"/>
          <w:sz w:val="20"/>
          <w:szCs w:val="24"/>
        </w:rPr>
        <w:t>T</w:t>
      </w:r>
      <w:r w:rsidR="00341F95">
        <w:rPr>
          <w:rFonts w:ascii="Verdana" w:hAnsi="Verdana"/>
          <w:sz w:val="20"/>
          <w:szCs w:val="24"/>
        </w:rPr>
        <w:t>he dam stopping overtopping</w:t>
      </w:r>
      <w:r w:rsidR="00564A6B">
        <w:rPr>
          <w:rFonts w:ascii="Verdana" w:hAnsi="Verdana"/>
          <w:sz w:val="20"/>
          <w:szCs w:val="24"/>
        </w:rPr>
        <w:t xml:space="preserve"> in March 2023</w:t>
      </w:r>
      <w:r>
        <w:rPr>
          <w:rFonts w:ascii="Verdana" w:hAnsi="Verdana"/>
          <w:sz w:val="20"/>
          <w:szCs w:val="24"/>
        </w:rPr>
        <w:t xml:space="preserve"> a dry period through summer saw the dam fall to below 80%</w:t>
      </w:r>
      <w:r w:rsidR="00B10490" w:rsidRPr="004A3AC2">
        <w:rPr>
          <w:rFonts w:ascii="Verdana" w:hAnsi="Verdana"/>
          <w:sz w:val="20"/>
          <w:szCs w:val="24"/>
        </w:rPr>
        <w:t xml:space="preserve">. </w:t>
      </w:r>
      <w:r>
        <w:rPr>
          <w:rFonts w:ascii="Verdana" w:hAnsi="Verdana"/>
          <w:sz w:val="20"/>
          <w:szCs w:val="24"/>
        </w:rPr>
        <w:t xml:space="preserve">Some autumn rain topped the dam up. </w:t>
      </w:r>
    </w:p>
    <w:p w14:paraId="17BEA5CB" w14:textId="77777777" w:rsidR="003E1B11" w:rsidRDefault="003E1B11" w:rsidP="00A413F2">
      <w:pPr>
        <w:jc w:val="center"/>
      </w:pPr>
      <w:r>
        <w:rPr>
          <w:noProof/>
        </w:rPr>
        <w:drawing>
          <wp:inline distT="0" distB="0" distL="0" distR="0" wp14:anchorId="5A8B81F5" wp14:editId="2F757E72">
            <wp:extent cx="1836453" cy="2880000"/>
            <wp:effectExtent l="76200" t="76200" r="125730" b="130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53" cy="28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19A9834" w14:textId="511181EE" w:rsidR="003E1B11" w:rsidRDefault="003E1B11" w:rsidP="003C33A5">
      <w:pPr>
        <w:pStyle w:val="Caption"/>
        <w:jc w:val="center"/>
      </w:pPr>
      <w:r w:rsidRPr="002B09F3">
        <w:t xml:space="preserve">Figure </w:t>
      </w:r>
      <w:r w:rsidRPr="002B09F3">
        <w:rPr>
          <w:noProof/>
        </w:rPr>
        <w:fldChar w:fldCharType="begin"/>
      </w:r>
      <w:r w:rsidRPr="002B09F3">
        <w:rPr>
          <w:noProof/>
        </w:rPr>
        <w:instrText xml:space="preserve"> SEQ Figure \* ARABIC </w:instrText>
      </w:r>
      <w:r w:rsidRPr="002B09F3">
        <w:rPr>
          <w:noProof/>
        </w:rPr>
        <w:fldChar w:fldCharType="separate"/>
      </w:r>
      <w:r>
        <w:rPr>
          <w:noProof/>
        </w:rPr>
        <w:t>1</w:t>
      </w:r>
      <w:r w:rsidRPr="002B09F3">
        <w:rPr>
          <w:noProof/>
        </w:rPr>
        <w:fldChar w:fldCharType="end"/>
      </w:r>
      <w:r w:rsidRPr="002B09F3">
        <w:t xml:space="preserve">: </w:t>
      </w:r>
      <w:r>
        <w:t>View of Dam Wall</w:t>
      </w:r>
      <w:r w:rsidR="003C33A5">
        <w:t xml:space="preserve"> Drought </w:t>
      </w:r>
      <w:r>
        <w:t xml:space="preserve"> July 20</w:t>
      </w:r>
      <w:r w:rsidR="003C33A5">
        <w:t>19</w:t>
      </w:r>
    </w:p>
    <w:p w14:paraId="66AB1EFD" w14:textId="43365DF0" w:rsidR="0019332B" w:rsidRPr="00627986" w:rsidRDefault="00341F95" w:rsidP="00A413F2">
      <w:pPr>
        <w:jc w:val="center"/>
        <w:rPr>
          <w:highlight w:val="yellow"/>
        </w:rPr>
      </w:pPr>
      <w:r>
        <w:rPr>
          <w:noProof/>
        </w:rPr>
        <w:drawing>
          <wp:inline distT="0" distB="0" distL="0" distR="0" wp14:anchorId="6177604E" wp14:editId="1F31B5A0">
            <wp:extent cx="4320000" cy="3240000"/>
            <wp:effectExtent l="76200" t="76200" r="137795" b="132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32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10"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1"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2"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3"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4"/>
          <w:footerReference w:type="default" r:id="rId15"/>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FE20670">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1"/>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1337F569" w:rsidR="00761581" w:rsidRPr="00761581" w:rsidRDefault="007153D0" w:rsidP="00761581">
      <w:r w:rsidRPr="007153D0">
        <w:drawing>
          <wp:inline distT="0" distB="0" distL="0" distR="0" wp14:anchorId="64CE7F74" wp14:editId="2A950A01">
            <wp:extent cx="6299835" cy="3848100"/>
            <wp:effectExtent l="0" t="0" r="5715" b="0"/>
            <wp:docPr id="8" name="Chart 8">
              <a:extLst xmlns:a="http://schemas.openxmlformats.org/drawingml/2006/main">
                <a:ext uri="{FF2B5EF4-FFF2-40B4-BE49-F238E27FC236}">
                  <a16:creationId xmlns:a16="http://schemas.microsoft.com/office/drawing/2014/main" id="{F9E71943-A01A-AA91-9674-1E8924468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4"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7153D0">
      <w:pPr>
        <w:rPr>
          <w:rFonts w:ascii="Verdana" w:hAnsi="Verdana"/>
          <w:sz w:val="24"/>
          <w:szCs w:val="24"/>
        </w:rPr>
      </w:pPr>
      <w:hyperlink r:id="rId25"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6"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7"/>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43261A70"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7153D0">
      <w:rPr>
        <w:b/>
      </w:rPr>
      <w:t>April</w:t>
    </w:r>
    <w:r w:rsidR="00AA2150">
      <w:rPr>
        <w:b/>
      </w:rPr>
      <w:t xml:space="preserve"> 202</w:t>
    </w:r>
    <w:r w:rsidR="003E1B11">
      <w:rPr>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7FB9"/>
    <w:rsid w:val="00303249"/>
    <w:rsid w:val="00311E03"/>
    <w:rsid w:val="00321723"/>
    <w:rsid w:val="00331E8B"/>
    <w:rsid w:val="00337DA2"/>
    <w:rsid w:val="00341F95"/>
    <w:rsid w:val="00343530"/>
    <w:rsid w:val="003436DA"/>
    <w:rsid w:val="003C3112"/>
    <w:rsid w:val="003C33A5"/>
    <w:rsid w:val="003C7655"/>
    <w:rsid w:val="003D1B67"/>
    <w:rsid w:val="003E1B11"/>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714189"/>
    <w:rsid w:val="007153D0"/>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qld.gov.au/environment-water-waste/water-supply-dams/dams-bores/13299-water-quality" TargetMode="External"/><Relationship Id="rId18" Type="http://schemas.openxmlformats.org/officeDocument/2006/relationships/diagramQuickStyle" Target="diagrams/quickStyle1.xml"/><Relationship Id="rId26" Type="http://schemas.openxmlformats.org/officeDocument/2006/relationships/hyperlink" Target="https://www.tenterfield.nsw.gov.au/infrastructure/water-supply-includes-water-restrictions/permanent-water-conservation-measur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Layout" Target="diagrams/layout1.xml"/><Relationship Id="rId25" Type="http://schemas.openxmlformats.org/officeDocument/2006/relationships/hyperlink" Target="https://www.nhmrc.gov.au/about-us/publications/australian-drinking-water-guidelin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mailto:council@tenterfield.nsw.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Copy%20of%20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a:t>
            </a:r>
          </a:p>
          <a:p>
            <a:pPr>
              <a:defRPr sz="1200" b="0" i="0" u="none" strike="noStrike" baseline="0">
                <a:solidFill>
                  <a:srgbClr val="000000"/>
                </a:solidFill>
                <a:latin typeface="Calibri"/>
                <a:ea typeface="Calibri"/>
                <a:cs typeface="Calibri"/>
              </a:defRPr>
            </a:pPr>
            <a:r>
              <a:rPr lang="en-AU"/>
              <a:t>KL of Tenterfield town supply used</a:t>
            </a:r>
          </a:p>
        </c:rich>
      </c:tx>
      <c:overlay val="0"/>
    </c:title>
    <c:autoTitleDeleted val="0"/>
    <c:plotArea>
      <c:layout>
        <c:manualLayout>
          <c:layoutTarget val="inner"/>
          <c:xMode val="edge"/>
          <c:yMode val="edge"/>
          <c:x val="8.7383082255328925E-2"/>
          <c:y val="6.5661136249371546E-2"/>
          <c:w val="0.8392672189033521"/>
          <c:h val="0.77959200644473881"/>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%'!$C$156:$C$318</c:f>
            </c:numRef>
          </c:val>
          <c:extLst>
            <c:ext xmlns:c16="http://schemas.microsoft.com/office/drawing/2014/chart" uri="{C3380CC4-5D6E-409C-BE32-E72D297353CC}">
              <c16:uniqueId val="{00000000-AE69-4523-B92A-03F5BC2C4ECD}"/>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%'!$D$156:$D$318</c:f>
            </c:numRef>
          </c:val>
          <c:extLst>
            <c:ext xmlns:c16="http://schemas.microsoft.com/office/drawing/2014/chart" uri="{C3380CC4-5D6E-409C-BE32-E72D297353CC}">
              <c16:uniqueId val="{00000001-AE69-4523-B92A-03F5BC2C4ECD}"/>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%'!$E$156:$E$318</c:f>
            </c:numRef>
          </c:val>
          <c:extLst>
            <c:ext xmlns:c16="http://schemas.microsoft.com/office/drawing/2014/chart" uri="{C3380CC4-5D6E-409C-BE32-E72D297353CC}">
              <c16:uniqueId val="{00000002-AE69-4523-B92A-03F5BC2C4ECD}"/>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%'!$F$156:$F$1343</c:f>
            </c:numRef>
          </c:val>
          <c:extLst>
            <c:ext xmlns:c16="http://schemas.microsoft.com/office/drawing/2014/chart" uri="{C3380CC4-5D6E-409C-BE32-E72D297353CC}">
              <c16:uniqueId val="{00000003-AE69-4523-B92A-03F5BC2C4ECD}"/>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%'!$G$156:$G$318</c:f>
            </c:numRef>
          </c:val>
          <c:extLst>
            <c:ext xmlns:c16="http://schemas.microsoft.com/office/drawing/2014/chart" uri="{C3380CC4-5D6E-409C-BE32-E72D297353CC}">
              <c16:uniqueId val="{00000004-AE69-4523-B92A-03F5BC2C4ECD}"/>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%'!$H$156:$H$318</c:f>
            </c:numRef>
          </c:val>
          <c:extLst>
            <c:ext xmlns:c16="http://schemas.microsoft.com/office/drawing/2014/chart" uri="{C3380CC4-5D6E-409C-BE32-E72D297353CC}">
              <c16:uniqueId val="{00000005-AE69-4523-B92A-03F5BC2C4ECD}"/>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%'!$I$156:$I$318</c:f>
            </c:numRef>
          </c:val>
          <c:extLst>
            <c:ext xmlns:c16="http://schemas.microsoft.com/office/drawing/2014/chart" uri="{C3380CC4-5D6E-409C-BE32-E72D297353CC}">
              <c16:uniqueId val="{00000006-AE69-4523-B92A-03F5BC2C4ECD}"/>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%'!$J$156:$J$318</c:f>
            </c:numRef>
          </c:val>
          <c:extLst>
            <c:ext xmlns:c16="http://schemas.microsoft.com/office/drawing/2014/chart" uri="{C3380CC4-5D6E-409C-BE32-E72D297353CC}">
              <c16:uniqueId val="{00000007-AE69-4523-B92A-03F5BC2C4ECD}"/>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%'!$B$581:$B$2160</c:f>
              <c:numCache>
                <c:formatCode>[$-C09]dddd\,\ d\ mmmm\ yyyy;@</c:formatCode>
                <c:ptCount val="158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numCache>
            </c:numRef>
          </c:cat>
          <c:val>
            <c:numRef>
              <c:f>'Dam level production and %'!$K$581:$K$2160</c:f>
              <c:numCache>
                <c:formatCode>0.0</c:formatCode>
                <c:ptCount val="1580"/>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pt idx="1433" formatCode="General">
                  <c:v>1060.2</c:v>
                </c:pt>
                <c:pt idx="1434" formatCode="General">
                  <c:v>821.8</c:v>
                </c:pt>
                <c:pt idx="1435" formatCode="General">
                  <c:v>1297.4000000000001</c:v>
                </c:pt>
                <c:pt idx="1436" formatCode="General">
                  <c:v>889.5</c:v>
                </c:pt>
                <c:pt idx="1437" formatCode="General">
                  <c:v>1080.8</c:v>
                </c:pt>
                <c:pt idx="1438" formatCode="General">
                  <c:v>1056.0999999999999</c:v>
                </c:pt>
                <c:pt idx="1439" formatCode="General">
                  <c:v>1182.9000000000001</c:v>
                </c:pt>
                <c:pt idx="1440" formatCode="General">
                  <c:v>1019.3</c:v>
                </c:pt>
                <c:pt idx="1441" formatCode="General">
                  <c:v>1092.7</c:v>
                </c:pt>
                <c:pt idx="1442" formatCode="General">
                  <c:v>941</c:v>
                </c:pt>
                <c:pt idx="1443" formatCode="General">
                  <c:v>1005.6</c:v>
                </c:pt>
                <c:pt idx="1444" formatCode="General">
                  <c:v>1067.8</c:v>
                </c:pt>
                <c:pt idx="1445" formatCode="General">
                  <c:v>771.8</c:v>
                </c:pt>
                <c:pt idx="1446" formatCode="General">
                  <c:v>839</c:v>
                </c:pt>
                <c:pt idx="1447" formatCode="General">
                  <c:v>1061.3</c:v>
                </c:pt>
                <c:pt idx="1448" formatCode="General">
                  <c:v>605.79999999999995</c:v>
                </c:pt>
                <c:pt idx="1449" formatCode="General">
                  <c:v>590.70000000000005</c:v>
                </c:pt>
                <c:pt idx="1450" formatCode="General">
                  <c:v>1002.8</c:v>
                </c:pt>
                <c:pt idx="1451" formatCode="General">
                  <c:v>743.2</c:v>
                </c:pt>
                <c:pt idx="1452" formatCode="General">
                  <c:v>586.9</c:v>
                </c:pt>
                <c:pt idx="1453" formatCode="General">
                  <c:v>963.4</c:v>
                </c:pt>
                <c:pt idx="1454" formatCode="General">
                  <c:v>469</c:v>
                </c:pt>
                <c:pt idx="1455" formatCode="General">
                  <c:v>1042.8</c:v>
                </c:pt>
                <c:pt idx="1456" formatCode="General">
                  <c:v>709.9</c:v>
                </c:pt>
                <c:pt idx="1457" formatCode="General">
                  <c:v>1019.3</c:v>
                </c:pt>
                <c:pt idx="1458" formatCode="General">
                  <c:v>917.6</c:v>
                </c:pt>
                <c:pt idx="1459" formatCode="General">
                  <c:v>634.9</c:v>
                </c:pt>
                <c:pt idx="1460" formatCode="General">
                  <c:v>1047.4000000000001</c:v>
                </c:pt>
                <c:pt idx="1461" formatCode="General">
                  <c:v>637.20000000000005</c:v>
                </c:pt>
                <c:pt idx="1462" formatCode="General">
                  <c:v>909.4</c:v>
                </c:pt>
                <c:pt idx="1463" formatCode="General">
                  <c:v>734.7</c:v>
                </c:pt>
                <c:pt idx="1464" formatCode="General">
                  <c:v>667.8</c:v>
                </c:pt>
                <c:pt idx="1465" formatCode="General">
                  <c:v>942.2</c:v>
                </c:pt>
                <c:pt idx="1466" formatCode="General">
                  <c:v>740.9</c:v>
                </c:pt>
                <c:pt idx="1467" formatCode="General">
                  <c:v>1104.8</c:v>
                </c:pt>
                <c:pt idx="1468" formatCode="General">
                  <c:v>646.79999999999995</c:v>
                </c:pt>
                <c:pt idx="1469" formatCode="General">
                  <c:v>1015.8</c:v>
                </c:pt>
                <c:pt idx="1470" formatCode="General">
                  <c:v>490.3</c:v>
                </c:pt>
                <c:pt idx="1471" formatCode="General">
                  <c:v>964.5</c:v>
                </c:pt>
                <c:pt idx="1472" formatCode="General">
                  <c:v>619.70000000000005</c:v>
                </c:pt>
                <c:pt idx="1473" formatCode="General">
                  <c:v>663.8</c:v>
                </c:pt>
                <c:pt idx="1474" formatCode="General">
                  <c:v>1050.5</c:v>
                </c:pt>
                <c:pt idx="1475" formatCode="General">
                  <c:v>637.6</c:v>
                </c:pt>
                <c:pt idx="1476" formatCode="General">
                  <c:v>881.7</c:v>
                </c:pt>
                <c:pt idx="1477" formatCode="General">
                  <c:v>659.7</c:v>
                </c:pt>
                <c:pt idx="1478" formatCode="General">
                  <c:v>631.4</c:v>
                </c:pt>
                <c:pt idx="1479" formatCode="General">
                  <c:v>616.4</c:v>
                </c:pt>
                <c:pt idx="1480" formatCode="General">
                  <c:v>885.6</c:v>
                </c:pt>
                <c:pt idx="1481" formatCode="General">
                  <c:v>828.7</c:v>
                </c:pt>
                <c:pt idx="1482" formatCode="General">
                  <c:v>715.7</c:v>
                </c:pt>
                <c:pt idx="1483" formatCode="General">
                  <c:v>914.6</c:v>
                </c:pt>
                <c:pt idx="1484" formatCode="General">
                  <c:v>682.4</c:v>
                </c:pt>
                <c:pt idx="1485" formatCode="General">
                  <c:v>1151.0999999999999</c:v>
                </c:pt>
                <c:pt idx="1486" formatCode="General">
                  <c:v>990.4</c:v>
                </c:pt>
                <c:pt idx="1487" formatCode="General">
                  <c:v>998.1</c:v>
                </c:pt>
                <c:pt idx="1488" formatCode="General">
                  <c:v>854.3</c:v>
                </c:pt>
                <c:pt idx="1489" formatCode="General">
                  <c:v>862.5</c:v>
                </c:pt>
                <c:pt idx="1490" formatCode="General">
                  <c:v>648.9</c:v>
                </c:pt>
                <c:pt idx="1491" formatCode="General">
                  <c:v>988.6</c:v>
                </c:pt>
                <c:pt idx="1492" formatCode="General">
                  <c:v>741.1</c:v>
                </c:pt>
                <c:pt idx="1493" formatCode="General">
                  <c:v>1011.7</c:v>
                </c:pt>
                <c:pt idx="1494" formatCode="General">
                  <c:v>964.6</c:v>
                </c:pt>
                <c:pt idx="1495" formatCode="General">
                  <c:v>945.2</c:v>
                </c:pt>
                <c:pt idx="1496" formatCode="General">
                  <c:v>829.2</c:v>
                </c:pt>
                <c:pt idx="1497" formatCode="General">
                  <c:v>1090.5999999999999</c:v>
                </c:pt>
                <c:pt idx="1498" formatCode="General">
                  <c:v>696.7</c:v>
                </c:pt>
                <c:pt idx="1499" formatCode="General">
                  <c:v>904.3</c:v>
                </c:pt>
                <c:pt idx="1500" formatCode="General">
                  <c:v>999.5</c:v>
                </c:pt>
                <c:pt idx="1501" formatCode="General">
                  <c:v>842.1</c:v>
                </c:pt>
                <c:pt idx="1502" formatCode="General">
                  <c:v>1045.8</c:v>
                </c:pt>
                <c:pt idx="1503" formatCode="General">
                  <c:v>666.6</c:v>
                </c:pt>
                <c:pt idx="1504" formatCode="General">
                  <c:v>1247.7</c:v>
                </c:pt>
                <c:pt idx="1505" formatCode="General">
                  <c:v>713.9</c:v>
                </c:pt>
                <c:pt idx="1506" formatCode="General">
                  <c:v>975.6</c:v>
                </c:pt>
                <c:pt idx="1507" formatCode="General">
                  <c:v>555.4</c:v>
                </c:pt>
                <c:pt idx="1508" formatCode="General">
                  <c:v>1026.0999999999999</c:v>
                </c:pt>
                <c:pt idx="1509" formatCode="General">
                  <c:v>762.5</c:v>
                </c:pt>
                <c:pt idx="1510" formatCode="General">
                  <c:v>1088.0999999999999</c:v>
                </c:pt>
                <c:pt idx="1511" formatCode="General">
                  <c:v>574.20000000000005</c:v>
                </c:pt>
                <c:pt idx="1512" formatCode="General">
                  <c:v>966.9</c:v>
                </c:pt>
                <c:pt idx="1513" formatCode="General">
                  <c:v>699.2</c:v>
                </c:pt>
                <c:pt idx="1514" formatCode="General">
                  <c:v>676.9</c:v>
                </c:pt>
                <c:pt idx="1515" formatCode="General">
                  <c:v>890.4</c:v>
                </c:pt>
                <c:pt idx="1516" formatCode="General">
                  <c:v>630</c:v>
                </c:pt>
                <c:pt idx="1517" formatCode="General">
                  <c:v>713.2</c:v>
                </c:pt>
                <c:pt idx="1518" formatCode="General">
                  <c:v>985.2</c:v>
                </c:pt>
                <c:pt idx="1519" formatCode="General">
                  <c:v>873.6</c:v>
                </c:pt>
                <c:pt idx="1520" formatCode="General">
                  <c:v>775.6</c:v>
                </c:pt>
                <c:pt idx="1521" formatCode="General">
                  <c:v>985.9</c:v>
                </c:pt>
                <c:pt idx="1522" formatCode="General">
                  <c:v>715.7</c:v>
                </c:pt>
                <c:pt idx="1523" formatCode="General">
                  <c:v>1051.0999999999999</c:v>
                </c:pt>
                <c:pt idx="1524" formatCode="General">
                  <c:v>634</c:v>
                </c:pt>
                <c:pt idx="1525" formatCode="General">
                  <c:v>1038.8</c:v>
                </c:pt>
                <c:pt idx="1526" formatCode="General">
                  <c:v>985.1</c:v>
                </c:pt>
                <c:pt idx="1527" formatCode="General">
                  <c:v>822.9</c:v>
                </c:pt>
                <c:pt idx="1528" formatCode="General">
                  <c:v>1067.7</c:v>
                </c:pt>
                <c:pt idx="1529" formatCode="General">
                  <c:v>1042.4000000000001</c:v>
                </c:pt>
                <c:pt idx="1530" formatCode="General">
                  <c:v>1182.3</c:v>
                </c:pt>
                <c:pt idx="1531" formatCode="General">
                  <c:v>898.4</c:v>
                </c:pt>
                <c:pt idx="1532" formatCode="General">
                  <c:v>1137.3</c:v>
                </c:pt>
                <c:pt idx="1533" formatCode="General">
                  <c:v>816.5</c:v>
                </c:pt>
                <c:pt idx="1534" formatCode="General">
                  <c:v>1187.4000000000001</c:v>
                </c:pt>
                <c:pt idx="1535" formatCode="General">
                  <c:v>998.3</c:v>
                </c:pt>
                <c:pt idx="1536" formatCode="General">
                  <c:v>994.2</c:v>
                </c:pt>
                <c:pt idx="1537" formatCode="General">
                  <c:v>733.9</c:v>
                </c:pt>
                <c:pt idx="1538" formatCode="General">
                  <c:v>996.5</c:v>
                </c:pt>
                <c:pt idx="1539" formatCode="General">
                  <c:v>929.1</c:v>
                </c:pt>
                <c:pt idx="1540" formatCode="General">
                  <c:v>710.7</c:v>
                </c:pt>
                <c:pt idx="1541" formatCode="General">
                  <c:v>958.5</c:v>
                </c:pt>
                <c:pt idx="1542" formatCode="General">
                  <c:v>568.1</c:v>
                </c:pt>
                <c:pt idx="1543" formatCode="General">
                  <c:v>739.9</c:v>
                </c:pt>
                <c:pt idx="1544" formatCode="General">
                  <c:v>986.6</c:v>
                </c:pt>
                <c:pt idx="1545" formatCode="General">
                  <c:v>1127.7</c:v>
                </c:pt>
                <c:pt idx="1546" formatCode="General">
                  <c:v>769.5</c:v>
                </c:pt>
                <c:pt idx="1547" formatCode="General">
                  <c:v>922.9</c:v>
                </c:pt>
                <c:pt idx="1548" formatCode="General">
                  <c:v>774</c:v>
                </c:pt>
                <c:pt idx="1549" formatCode="General">
                  <c:v>1041.5</c:v>
                </c:pt>
                <c:pt idx="1550" formatCode="General">
                  <c:v>663.2</c:v>
                </c:pt>
                <c:pt idx="1551" formatCode="General">
                  <c:v>1035.0999999999999</c:v>
                </c:pt>
                <c:pt idx="1552" formatCode="General">
                  <c:v>821.7</c:v>
                </c:pt>
                <c:pt idx="1553" formatCode="General">
                  <c:v>943.9</c:v>
                </c:pt>
                <c:pt idx="1554" formatCode="General">
                  <c:v>795.7</c:v>
                </c:pt>
                <c:pt idx="1555" formatCode="General">
                  <c:v>705.2</c:v>
                </c:pt>
                <c:pt idx="1556" formatCode="General">
                  <c:v>634.5</c:v>
                </c:pt>
                <c:pt idx="1557" formatCode="General">
                  <c:v>935.9</c:v>
                </c:pt>
                <c:pt idx="1558" formatCode="General">
                  <c:v>681.8</c:v>
                </c:pt>
                <c:pt idx="1559" formatCode="General">
                  <c:v>1071.2</c:v>
                </c:pt>
                <c:pt idx="1560" formatCode="General">
                  <c:v>804.5</c:v>
                </c:pt>
                <c:pt idx="1561" formatCode="General">
                  <c:v>865.1</c:v>
                </c:pt>
                <c:pt idx="1562" formatCode="General">
                  <c:v>764.7</c:v>
                </c:pt>
                <c:pt idx="1563" formatCode="General">
                  <c:v>910.4</c:v>
                </c:pt>
                <c:pt idx="1564" formatCode="General">
                  <c:v>1089.3</c:v>
                </c:pt>
                <c:pt idx="1565" formatCode="General">
                  <c:v>1045.4000000000001</c:v>
                </c:pt>
                <c:pt idx="1566" formatCode="General">
                  <c:v>655.5</c:v>
                </c:pt>
                <c:pt idx="1567" formatCode="General">
                  <c:v>1093.2</c:v>
                </c:pt>
                <c:pt idx="1568" formatCode="General">
                  <c:v>623.20000000000005</c:v>
                </c:pt>
                <c:pt idx="1569" formatCode="General">
                  <c:v>942.5</c:v>
                </c:pt>
                <c:pt idx="1570" formatCode="General">
                  <c:v>824.9</c:v>
                </c:pt>
                <c:pt idx="1571" formatCode="General">
                  <c:v>820.9</c:v>
                </c:pt>
                <c:pt idx="1572" formatCode="General">
                  <c:v>1121.5</c:v>
                </c:pt>
                <c:pt idx="1573" formatCode="General">
                  <c:v>619.5</c:v>
                </c:pt>
                <c:pt idx="1574" formatCode="General">
                  <c:v>902.2</c:v>
                </c:pt>
                <c:pt idx="1575" formatCode="General">
                  <c:v>606.70000000000005</c:v>
                </c:pt>
                <c:pt idx="1576" formatCode="General">
                  <c:v>1012.2</c:v>
                </c:pt>
                <c:pt idx="1577" formatCode="General">
                  <c:v>636.4</c:v>
                </c:pt>
                <c:pt idx="1578" formatCode="General">
                  <c:v>1053.9000000000001</c:v>
                </c:pt>
                <c:pt idx="1579" formatCode="General">
                  <c:v>831</c:v>
                </c:pt>
              </c:numCache>
            </c:numRef>
          </c:val>
          <c:extLst>
            <c:ext xmlns:c16="http://schemas.microsoft.com/office/drawing/2014/chart" uri="{C3380CC4-5D6E-409C-BE32-E72D297353CC}">
              <c16:uniqueId val="{00000008-AE69-4523-B92A-03F5BC2C4ECD}"/>
            </c:ext>
          </c:extLst>
        </c:ser>
        <c:dLbls>
          <c:showLegendKey val="0"/>
          <c:showVal val="0"/>
          <c:showCatName val="0"/>
          <c:showSerName val="0"/>
          <c:showPercent val="0"/>
          <c:showBubbleSize val="0"/>
        </c:dLbls>
        <c:gapWidth val="150"/>
        <c:axId val="491055320"/>
        <c:axId val="1"/>
      </c:barChart>
      <c:lineChart>
        <c:grouping val="standard"/>
        <c:varyColors val="0"/>
        <c:ser>
          <c:idx val="17"/>
          <c:order val="10"/>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09-AE69-4523-B92A-03F5BC2C4ECD}"/>
            </c:ext>
          </c:extLst>
        </c:ser>
        <c:ser>
          <c:idx val="18"/>
          <c:order val="11"/>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0A-AE69-4523-B92A-03F5BC2C4ECD}"/>
            </c:ext>
          </c:extLst>
        </c:ser>
        <c:ser>
          <c:idx val="19"/>
          <c:order val="12"/>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0B-AE69-4523-B92A-03F5BC2C4ECD}"/>
            </c:ext>
          </c:extLst>
        </c:ser>
        <c:ser>
          <c:idx val="20"/>
          <c:order val="13"/>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0C-AE69-4523-B92A-03F5BC2C4ECD}"/>
            </c:ext>
          </c:extLst>
        </c:ser>
        <c:ser>
          <c:idx val="21"/>
          <c:order val="14"/>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0D-AE69-4523-B92A-03F5BC2C4ECD}"/>
            </c:ext>
          </c:extLst>
        </c:ser>
        <c:ser>
          <c:idx val="22"/>
          <c:order val="15"/>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0E-AE69-4523-B92A-03F5BC2C4ECD}"/>
            </c:ext>
          </c:extLst>
        </c:ser>
        <c:ser>
          <c:idx val="23"/>
          <c:order val="16"/>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0F-AE69-4523-B92A-03F5BC2C4ECD}"/>
            </c:ext>
          </c:extLst>
        </c:ser>
        <c:ser>
          <c:idx val="24"/>
          <c:order val="17"/>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0-AE69-4523-B92A-03F5BC2C4ECD}"/>
            </c:ext>
          </c:extLst>
        </c:ser>
        <c:dLbls>
          <c:showLegendKey val="0"/>
          <c:showVal val="0"/>
          <c:showCatName val="0"/>
          <c:showSerName val="0"/>
          <c:showPercent val="0"/>
          <c:showBubbleSize val="0"/>
        </c:dLbls>
        <c:marker val="1"/>
        <c:smooth val="0"/>
        <c:axId val="3"/>
        <c:axId val="4"/>
      </c:lineChart>
      <c:lineChart>
        <c:grouping val="standard"/>
        <c:varyColors val="0"/>
        <c:ser>
          <c:idx val="15"/>
          <c:order val="9"/>
          <c:tx>
            <c:strRef>
              <c:f>'Dam level production and %'!$R$2</c:f>
              <c:strCache>
                <c:ptCount val="1"/>
                <c:pt idx="0">
                  <c:v>dam %</c:v>
                </c:pt>
              </c:strCache>
            </c:strRef>
          </c:tx>
          <c:spPr>
            <a:ln w="25400">
              <a:solidFill>
                <a:srgbClr val="FF0000"/>
              </a:solidFill>
              <a:prstDash val="solid"/>
            </a:ln>
          </c:spPr>
          <c:marker>
            <c:symbol val="none"/>
          </c:marker>
          <c:cat>
            <c:numRef>
              <c:f>'Dam level production and %'!$A$551:$B$2160</c:f>
              <c:numCache>
                <c:formatCode>[$-C09]dddd\,\ d\ mmmm\ yyyy;@</c:formatCode>
                <c:ptCount val="1610"/>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pt idx="1462">
                  <c:v>45263</c:v>
                </c:pt>
                <c:pt idx="1463">
                  <c:v>45264</c:v>
                </c:pt>
                <c:pt idx="1464">
                  <c:v>45265</c:v>
                </c:pt>
                <c:pt idx="1465">
                  <c:v>45266</c:v>
                </c:pt>
                <c:pt idx="1466">
                  <c:v>45267</c:v>
                </c:pt>
                <c:pt idx="1467">
                  <c:v>45268</c:v>
                </c:pt>
                <c:pt idx="1468">
                  <c:v>45269</c:v>
                </c:pt>
                <c:pt idx="1469">
                  <c:v>45270</c:v>
                </c:pt>
                <c:pt idx="1470">
                  <c:v>45271</c:v>
                </c:pt>
                <c:pt idx="1471">
                  <c:v>45272</c:v>
                </c:pt>
                <c:pt idx="1472">
                  <c:v>45273</c:v>
                </c:pt>
                <c:pt idx="1473">
                  <c:v>45274</c:v>
                </c:pt>
                <c:pt idx="1474">
                  <c:v>45275</c:v>
                </c:pt>
                <c:pt idx="1475">
                  <c:v>45276</c:v>
                </c:pt>
                <c:pt idx="1476">
                  <c:v>45277</c:v>
                </c:pt>
                <c:pt idx="1477">
                  <c:v>45278</c:v>
                </c:pt>
                <c:pt idx="1478">
                  <c:v>45279</c:v>
                </c:pt>
                <c:pt idx="1479">
                  <c:v>45280</c:v>
                </c:pt>
                <c:pt idx="1480">
                  <c:v>45281</c:v>
                </c:pt>
                <c:pt idx="1481">
                  <c:v>45282</c:v>
                </c:pt>
                <c:pt idx="1482">
                  <c:v>45283</c:v>
                </c:pt>
                <c:pt idx="1483">
                  <c:v>45284</c:v>
                </c:pt>
                <c:pt idx="1484">
                  <c:v>45285</c:v>
                </c:pt>
                <c:pt idx="1485">
                  <c:v>45286</c:v>
                </c:pt>
                <c:pt idx="1486">
                  <c:v>45287</c:v>
                </c:pt>
                <c:pt idx="1487">
                  <c:v>45288</c:v>
                </c:pt>
                <c:pt idx="1488">
                  <c:v>45289</c:v>
                </c:pt>
                <c:pt idx="1489">
                  <c:v>45290</c:v>
                </c:pt>
                <c:pt idx="1490">
                  <c:v>45291</c:v>
                </c:pt>
                <c:pt idx="1491">
                  <c:v>45292</c:v>
                </c:pt>
                <c:pt idx="1492">
                  <c:v>45293</c:v>
                </c:pt>
                <c:pt idx="1493">
                  <c:v>45294</c:v>
                </c:pt>
                <c:pt idx="1494">
                  <c:v>45295</c:v>
                </c:pt>
                <c:pt idx="1495">
                  <c:v>45296</c:v>
                </c:pt>
                <c:pt idx="1496">
                  <c:v>45297</c:v>
                </c:pt>
                <c:pt idx="1497">
                  <c:v>45298</c:v>
                </c:pt>
                <c:pt idx="1498">
                  <c:v>45299</c:v>
                </c:pt>
                <c:pt idx="1499">
                  <c:v>45300</c:v>
                </c:pt>
                <c:pt idx="1500">
                  <c:v>45301</c:v>
                </c:pt>
                <c:pt idx="1501">
                  <c:v>45302</c:v>
                </c:pt>
                <c:pt idx="1502">
                  <c:v>45303</c:v>
                </c:pt>
                <c:pt idx="1503">
                  <c:v>45304</c:v>
                </c:pt>
                <c:pt idx="1504">
                  <c:v>45305</c:v>
                </c:pt>
                <c:pt idx="1505">
                  <c:v>45306</c:v>
                </c:pt>
                <c:pt idx="1506">
                  <c:v>45307</c:v>
                </c:pt>
                <c:pt idx="1507">
                  <c:v>45308</c:v>
                </c:pt>
                <c:pt idx="1508">
                  <c:v>45309</c:v>
                </c:pt>
                <c:pt idx="1509">
                  <c:v>45310</c:v>
                </c:pt>
                <c:pt idx="1510">
                  <c:v>45311</c:v>
                </c:pt>
                <c:pt idx="1511">
                  <c:v>45312</c:v>
                </c:pt>
                <c:pt idx="1512">
                  <c:v>45313</c:v>
                </c:pt>
                <c:pt idx="1513">
                  <c:v>45314</c:v>
                </c:pt>
                <c:pt idx="1514">
                  <c:v>45315</c:v>
                </c:pt>
                <c:pt idx="1515">
                  <c:v>45316</c:v>
                </c:pt>
                <c:pt idx="1516">
                  <c:v>45317</c:v>
                </c:pt>
                <c:pt idx="1517">
                  <c:v>45318</c:v>
                </c:pt>
                <c:pt idx="1518">
                  <c:v>45319</c:v>
                </c:pt>
                <c:pt idx="1519">
                  <c:v>45320</c:v>
                </c:pt>
                <c:pt idx="1520">
                  <c:v>45321</c:v>
                </c:pt>
                <c:pt idx="1521">
                  <c:v>45322</c:v>
                </c:pt>
                <c:pt idx="1522">
                  <c:v>45323</c:v>
                </c:pt>
                <c:pt idx="1523">
                  <c:v>45324</c:v>
                </c:pt>
                <c:pt idx="1524">
                  <c:v>45325</c:v>
                </c:pt>
                <c:pt idx="1525">
                  <c:v>45326</c:v>
                </c:pt>
                <c:pt idx="1526">
                  <c:v>45327</c:v>
                </c:pt>
                <c:pt idx="1527">
                  <c:v>45328</c:v>
                </c:pt>
                <c:pt idx="1528">
                  <c:v>45329</c:v>
                </c:pt>
                <c:pt idx="1529">
                  <c:v>45330</c:v>
                </c:pt>
                <c:pt idx="1530">
                  <c:v>45331</c:v>
                </c:pt>
                <c:pt idx="1531">
                  <c:v>45332</c:v>
                </c:pt>
                <c:pt idx="1532">
                  <c:v>45333</c:v>
                </c:pt>
                <c:pt idx="1533">
                  <c:v>45334</c:v>
                </c:pt>
                <c:pt idx="1534">
                  <c:v>45335</c:v>
                </c:pt>
                <c:pt idx="1535">
                  <c:v>45336</c:v>
                </c:pt>
                <c:pt idx="1536">
                  <c:v>45337</c:v>
                </c:pt>
                <c:pt idx="1537">
                  <c:v>45338</c:v>
                </c:pt>
                <c:pt idx="1538">
                  <c:v>45339</c:v>
                </c:pt>
                <c:pt idx="1539">
                  <c:v>45340</c:v>
                </c:pt>
                <c:pt idx="1540">
                  <c:v>45341</c:v>
                </c:pt>
                <c:pt idx="1541">
                  <c:v>45342</c:v>
                </c:pt>
                <c:pt idx="1542">
                  <c:v>45343</c:v>
                </c:pt>
                <c:pt idx="1543">
                  <c:v>45344</c:v>
                </c:pt>
                <c:pt idx="1544">
                  <c:v>45345</c:v>
                </c:pt>
                <c:pt idx="1545">
                  <c:v>45346</c:v>
                </c:pt>
                <c:pt idx="1546">
                  <c:v>45347</c:v>
                </c:pt>
                <c:pt idx="1547">
                  <c:v>45348</c:v>
                </c:pt>
                <c:pt idx="1548">
                  <c:v>45349</c:v>
                </c:pt>
                <c:pt idx="1549">
                  <c:v>45350</c:v>
                </c:pt>
                <c:pt idx="1550">
                  <c:v>45351</c:v>
                </c:pt>
                <c:pt idx="1551">
                  <c:v>45352</c:v>
                </c:pt>
                <c:pt idx="1552">
                  <c:v>45353</c:v>
                </c:pt>
                <c:pt idx="1553">
                  <c:v>45354</c:v>
                </c:pt>
                <c:pt idx="1554">
                  <c:v>45355</c:v>
                </c:pt>
                <c:pt idx="1555">
                  <c:v>45356</c:v>
                </c:pt>
                <c:pt idx="1556">
                  <c:v>45357</c:v>
                </c:pt>
                <c:pt idx="1557">
                  <c:v>45358</c:v>
                </c:pt>
                <c:pt idx="1558">
                  <c:v>45359</c:v>
                </c:pt>
                <c:pt idx="1559">
                  <c:v>45360</c:v>
                </c:pt>
                <c:pt idx="1560">
                  <c:v>45361</c:v>
                </c:pt>
                <c:pt idx="1561">
                  <c:v>45362</c:v>
                </c:pt>
                <c:pt idx="1562">
                  <c:v>45363</c:v>
                </c:pt>
                <c:pt idx="1563">
                  <c:v>45364</c:v>
                </c:pt>
                <c:pt idx="1564">
                  <c:v>45365</c:v>
                </c:pt>
                <c:pt idx="1565">
                  <c:v>45366</c:v>
                </c:pt>
                <c:pt idx="1566">
                  <c:v>45367</c:v>
                </c:pt>
                <c:pt idx="1567">
                  <c:v>45368</c:v>
                </c:pt>
                <c:pt idx="1568">
                  <c:v>45369</c:v>
                </c:pt>
                <c:pt idx="1569">
                  <c:v>45370</c:v>
                </c:pt>
                <c:pt idx="1570">
                  <c:v>45371</c:v>
                </c:pt>
                <c:pt idx="1571">
                  <c:v>45372</c:v>
                </c:pt>
                <c:pt idx="1572">
                  <c:v>45373</c:v>
                </c:pt>
                <c:pt idx="1573">
                  <c:v>45374</c:v>
                </c:pt>
                <c:pt idx="1574">
                  <c:v>45375</c:v>
                </c:pt>
                <c:pt idx="1575">
                  <c:v>45376</c:v>
                </c:pt>
                <c:pt idx="1576">
                  <c:v>45377</c:v>
                </c:pt>
                <c:pt idx="1577">
                  <c:v>45378</c:v>
                </c:pt>
                <c:pt idx="1578">
                  <c:v>45379</c:v>
                </c:pt>
                <c:pt idx="1579">
                  <c:v>45380</c:v>
                </c:pt>
                <c:pt idx="1580">
                  <c:v>45381</c:v>
                </c:pt>
                <c:pt idx="1581">
                  <c:v>45382</c:v>
                </c:pt>
                <c:pt idx="1582">
                  <c:v>45383</c:v>
                </c:pt>
                <c:pt idx="1583">
                  <c:v>45384</c:v>
                </c:pt>
                <c:pt idx="1584">
                  <c:v>45385</c:v>
                </c:pt>
                <c:pt idx="1585">
                  <c:v>45386</c:v>
                </c:pt>
                <c:pt idx="1586">
                  <c:v>45387</c:v>
                </c:pt>
                <c:pt idx="1587">
                  <c:v>45388</c:v>
                </c:pt>
                <c:pt idx="1588">
                  <c:v>45389</c:v>
                </c:pt>
                <c:pt idx="1589">
                  <c:v>45390</c:v>
                </c:pt>
                <c:pt idx="1590">
                  <c:v>45391</c:v>
                </c:pt>
                <c:pt idx="1591">
                  <c:v>45392</c:v>
                </c:pt>
                <c:pt idx="1592">
                  <c:v>45393</c:v>
                </c:pt>
                <c:pt idx="1593">
                  <c:v>45394</c:v>
                </c:pt>
                <c:pt idx="1594">
                  <c:v>45395</c:v>
                </c:pt>
                <c:pt idx="1595">
                  <c:v>45396</c:v>
                </c:pt>
                <c:pt idx="1596">
                  <c:v>45397</c:v>
                </c:pt>
                <c:pt idx="1597">
                  <c:v>45398</c:v>
                </c:pt>
                <c:pt idx="1598">
                  <c:v>45399</c:v>
                </c:pt>
                <c:pt idx="1599">
                  <c:v>45400</c:v>
                </c:pt>
                <c:pt idx="1600">
                  <c:v>45401</c:v>
                </c:pt>
                <c:pt idx="1601">
                  <c:v>45402</c:v>
                </c:pt>
                <c:pt idx="1602">
                  <c:v>45403</c:v>
                </c:pt>
                <c:pt idx="1603">
                  <c:v>45404</c:v>
                </c:pt>
                <c:pt idx="1604">
                  <c:v>45405</c:v>
                </c:pt>
                <c:pt idx="1605">
                  <c:v>45406</c:v>
                </c:pt>
                <c:pt idx="1606">
                  <c:v>45407</c:v>
                </c:pt>
                <c:pt idx="1607">
                  <c:v>45408</c:v>
                </c:pt>
                <c:pt idx="1608">
                  <c:v>45409</c:v>
                </c:pt>
                <c:pt idx="1609">
                  <c:v>45410</c:v>
                </c:pt>
              </c:numCache>
            </c:numRef>
          </c:cat>
          <c:val>
            <c:numRef>
              <c:f>'Dam level production and %'!$R$551:$R$2160</c:f>
              <c:numCache>
                <c:formatCode>0%</c:formatCode>
                <c:ptCount val="1610"/>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pt idx="1462">
                  <c:v>0.75760342971393424</c:v>
                </c:pt>
                <c:pt idx="1463">
                  <c:v>0.75257997539218702</c:v>
                </c:pt>
                <c:pt idx="1464">
                  <c:v>0.75257997539218702</c:v>
                </c:pt>
                <c:pt idx="1465">
                  <c:v>0.74923100584435565</c:v>
                </c:pt>
                <c:pt idx="1466">
                  <c:v>0.74645109197170112</c:v>
                </c:pt>
                <c:pt idx="1467">
                  <c:v>0.74645109197170112</c:v>
                </c:pt>
                <c:pt idx="1468">
                  <c:v>0.74367117809904648</c:v>
                </c:pt>
                <c:pt idx="1469">
                  <c:v>0.73811135035373732</c:v>
                </c:pt>
                <c:pt idx="1470">
                  <c:v>0.73811135035373732</c:v>
                </c:pt>
                <c:pt idx="1471">
                  <c:v>0.73533143648108279</c:v>
                </c:pt>
                <c:pt idx="1472">
                  <c:v>0.72977160873577362</c:v>
                </c:pt>
                <c:pt idx="1473">
                  <c:v>0.72977160873577362</c:v>
                </c:pt>
                <c:pt idx="1474">
                  <c:v>0.72977160873577362</c:v>
                </c:pt>
                <c:pt idx="1475">
                  <c:v>0.72977160873577362</c:v>
                </c:pt>
                <c:pt idx="1476">
                  <c:v>0.72143186711780993</c:v>
                </c:pt>
                <c:pt idx="1477">
                  <c:v>0.72143186711780993</c:v>
                </c:pt>
                <c:pt idx="1478">
                  <c:v>0.72143186711780993</c:v>
                </c:pt>
                <c:pt idx="1479">
                  <c:v>0.71865195324515541</c:v>
                </c:pt>
                <c:pt idx="1480">
                  <c:v>0.72421178099046446</c:v>
                </c:pt>
                <c:pt idx="1481">
                  <c:v>0.72838165179944636</c:v>
                </c:pt>
                <c:pt idx="1482">
                  <c:v>0.72838165179944636</c:v>
                </c:pt>
                <c:pt idx="1483">
                  <c:v>0.73811135035373732</c:v>
                </c:pt>
                <c:pt idx="1484">
                  <c:v>0.74923100584435565</c:v>
                </c:pt>
                <c:pt idx="1485">
                  <c:v>0.74923100584435565</c:v>
                </c:pt>
                <c:pt idx="1486">
                  <c:v>0.74923100584435565</c:v>
                </c:pt>
                <c:pt idx="1487">
                  <c:v>0.74923100584435565</c:v>
                </c:pt>
                <c:pt idx="1488">
                  <c:v>0.74367117809904648</c:v>
                </c:pt>
                <c:pt idx="1489">
                  <c:v>0.74089126422639184</c:v>
                </c:pt>
                <c:pt idx="1490">
                  <c:v>0.74089126422639184</c:v>
                </c:pt>
                <c:pt idx="1491">
                  <c:v>0.74089126422639184</c:v>
                </c:pt>
                <c:pt idx="1492">
                  <c:v>0.76597585358351283</c:v>
                </c:pt>
                <c:pt idx="1493">
                  <c:v>0.73811135035373732</c:v>
                </c:pt>
                <c:pt idx="1494">
                  <c:v>0.73811135035373732</c:v>
                </c:pt>
                <c:pt idx="1495">
                  <c:v>0.73533143648108279</c:v>
                </c:pt>
                <c:pt idx="1496">
                  <c:v>0.73533143648108279</c:v>
                </c:pt>
                <c:pt idx="1497">
                  <c:v>0.73394147954475553</c:v>
                </c:pt>
                <c:pt idx="1498">
                  <c:v>0.72838165179944636</c:v>
                </c:pt>
                <c:pt idx="1499">
                  <c:v>0.72838165179944636</c:v>
                </c:pt>
                <c:pt idx="1500">
                  <c:v>0.79109312519224861</c:v>
                </c:pt>
                <c:pt idx="1501">
                  <c:v>0.79946554906182721</c:v>
                </c:pt>
                <c:pt idx="1502">
                  <c:v>0.79946554906182721</c:v>
                </c:pt>
                <c:pt idx="1503">
                  <c:v>0.79779106428791158</c:v>
                </c:pt>
                <c:pt idx="1504">
                  <c:v>0.79611657951399584</c:v>
                </c:pt>
                <c:pt idx="1505">
                  <c:v>0.79611657951399584</c:v>
                </c:pt>
                <c:pt idx="1506">
                  <c:v>0.79611657951399584</c:v>
                </c:pt>
                <c:pt idx="1507">
                  <c:v>0.79276760996616435</c:v>
                </c:pt>
                <c:pt idx="1508">
                  <c:v>0.80616348815749006</c:v>
                </c:pt>
                <c:pt idx="1509">
                  <c:v>0.80616348815749006</c:v>
                </c:pt>
                <c:pt idx="1510">
                  <c:v>0.85639803137496173</c:v>
                </c:pt>
                <c:pt idx="1511">
                  <c:v>0.85974700092279321</c:v>
                </c:pt>
                <c:pt idx="1512">
                  <c:v>0.85974700092279321</c:v>
                </c:pt>
                <c:pt idx="1513">
                  <c:v>0.85974700092279321</c:v>
                </c:pt>
                <c:pt idx="1514">
                  <c:v>0.85974700092279321</c:v>
                </c:pt>
                <c:pt idx="1515">
                  <c:v>0.85639803137496173</c:v>
                </c:pt>
                <c:pt idx="1516">
                  <c:v>0.85304906182713025</c:v>
                </c:pt>
                <c:pt idx="1517">
                  <c:v>0.85304906182713025</c:v>
                </c:pt>
                <c:pt idx="1518">
                  <c:v>0.85974700092279321</c:v>
                </c:pt>
                <c:pt idx="1519">
                  <c:v>0.85974700092279321</c:v>
                </c:pt>
                <c:pt idx="1520">
                  <c:v>0.85639803137496173</c:v>
                </c:pt>
                <c:pt idx="1521">
                  <c:v>0.85639803137496173</c:v>
                </c:pt>
                <c:pt idx="1522">
                  <c:v>0.85304906182713025</c:v>
                </c:pt>
                <c:pt idx="1523">
                  <c:v>0.85304906182713025</c:v>
                </c:pt>
                <c:pt idx="1524">
                  <c:v>0.84970009227929877</c:v>
                </c:pt>
                <c:pt idx="1525">
                  <c:v>0.84970009227929877</c:v>
                </c:pt>
                <c:pt idx="1526">
                  <c:v>0.84802560750538314</c:v>
                </c:pt>
                <c:pt idx="1527">
                  <c:v>0.84802560750538314</c:v>
                </c:pt>
                <c:pt idx="1528">
                  <c:v>0.83965318363580455</c:v>
                </c:pt>
                <c:pt idx="1529">
                  <c:v>0.83965318363580455</c:v>
                </c:pt>
                <c:pt idx="1530">
                  <c:v>0.83630421408797306</c:v>
                </c:pt>
                <c:pt idx="1531">
                  <c:v>0.83295524454014158</c:v>
                </c:pt>
                <c:pt idx="1532">
                  <c:v>0.8296062749923101</c:v>
                </c:pt>
                <c:pt idx="1533">
                  <c:v>0.82625730544447873</c:v>
                </c:pt>
                <c:pt idx="1534">
                  <c:v>0.82625730544447873</c:v>
                </c:pt>
                <c:pt idx="1535">
                  <c:v>0.82290833589664725</c:v>
                </c:pt>
                <c:pt idx="1536">
                  <c:v>0.82290833589664725</c:v>
                </c:pt>
                <c:pt idx="1537">
                  <c:v>0.81955936634881577</c:v>
                </c:pt>
                <c:pt idx="1538">
                  <c:v>0.81955936634881577</c:v>
                </c:pt>
                <c:pt idx="1539">
                  <c:v>0.81621039680098439</c:v>
                </c:pt>
                <c:pt idx="1540">
                  <c:v>0.81286142725315291</c:v>
                </c:pt>
                <c:pt idx="1541">
                  <c:v>0.81286142725315291</c:v>
                </c:pt>
                <c:pt idx="1542">
                  <c:v>0.80951245770532154</c:v>
                </c:pt>
                <c:pt idx="1543">
                  <c:v>0.80951245770532154</c:v>
                </c:pt>
                <c:pt idx="1544">
                  <c:v>0.81286142725315291</c:v>
                </c:pt>
                <c:pt idx="1545">
                  <c:v>0.81286142725315291</c:v>
                </c:pt>
                <c:pt idx="1546">
                  <c:v>0.88643451587545719</c:v>
                </c:pt>
                <c:pt idx="1547">
                  <c:v>0.92861598140743007</c:v>
                </c:pt>
                <c:pt idx="1548">
                  <c:v>0.92861598140743007</c:v>
                </c:pt>
                <c:pt idx="1549">
                  <c:v>0.92699361734850805</c:v>
                </c:pt>
                <c:pt idx="1550">
                  <c:v>0.92537125328958603</c:v>
                </c:pt>
                <c:pt idx="1551">
                  <c:v>0.89616870022898931</c:v>
                </c:pt>
                <c:pt idx="1552">
                  <c:v>0.89616870022898931</c:v>
                </c:pt>
                <c:pt idx="1553">
                  <c:v>0.89616870022898931</c:v>
                </c:pt>
                <c:pt idx="1554">
                  <c:v>0.89454633617006729</c:v>
                </c:pt>
                <c:pt idx="1555">
                  <c:v>0.89292397211114527</c:v>
                </c:pt>
                <c:pt idx="1556">
                  <c:v>0.88967924399330123</c:v>
                </c:pt>
                <c:pt idx="1557">
                  <c:v>0.88643451587545719</c:v>
                </c:pt>
                <c:pt idx="1558">
                  <c:v>0.88318978775761303</c:v>
                </c:pt>
                <c:pt idx="1559">
                  <c:v>0.87984081820978155</c:v>
                </c:pt>
                <c:pt idx="1560">
                  <c:v>0.87649184866195018</c:v>
                </c:pt>
                <c:pt idx="1561">
                  <c:v>0.87649184866195018</c:v>
                </c:pt>
                <c:pt idx="1562">
                  <c:v>0.87649184866195018</c:v>
                </c:pt>
                <c:pt idx="1563">
                  <c:v>0.87481736388803444</c:v>
                </c:pt>
                <c:pt idx="1564">
                  <c:v>0.86979390956628744</c:v>
                </c:pt>
                <c:pt idx="1565">
                  <c:v>0.86644494001845596</c:v>
                </c:pt>
                <c:pt idx="1566">
                  <c:v>0.86477045524454033</c:v>
                </c:pt>
                <c:pt idx="1567">
                  <c:v>0.86477045524454033</c:v>
                </c:pt>
                <c:pt idx="1568">
                  <c:v>0.85974700092279321</c:v>
                </c:pt>
                <c:pt idx="1569">
                  <c:v>0.85974700092279321</c:v>
                </c:pt>
                <c:pt idx="1570">
                  <c:v>0.85974700092279321</c:v>
                </c:pt>
                <c:pt idx="1571">
                  <c:v>0.86979390956628744</c:v>
                </c:pt>
                <c:pt idx="1572">
                  <c:v>0.8681194247923717</c:v>
                </c:pt>
                <c:pt idx="1573">
                  <c:v>0.86644494001845596</c:v>
                </c:pt>
                <c:pt idx="1574">
                  <c:v>0.86644494001845596</c:v>
                </c:pt>
                <c:pt idx="1575">
                  <c:v>0.86644494001845596</c:v>
                </c:pt>
                <c:pt idx="1576">
                  <c:v>0.86644494001845596</c:v>
                </c:pt>
                <c:pt idx="1577">
                  <c:v>0.86979390956628744</c:v>
                </c:pt>
                <c:pt idx="1578">
                  <c:v>0.86979390956628744</c:v>
                </c:pt>
                <c:pt idx="1579">
                  <c:v>0.86979390956628744</c:v>
                </c:pt>
                <c:pt idx="1580">
                  <c:v>0.86979390956628744</c:v>
                </c:pt>
                <c:pt idx="1581">
                  <c:v>0.86979390956628744</c:v>
                </c:pt>
                <c:pt idx="1582">
                  <c:v>0.86644494001845596</c:v>
                </c:pt>
                <c:pt idx="1583">
                  <c:v>0.86309597047062458</c:v>
                </c:pt>
                <c:pt idx="1584">
                  <c:v>0.86309597047062458</c:v>
                </c:pt>
                <c:pt idx="1585">
                  <c:v>0.86979390956628744</c:v>
                </c:pt>
                <c:pt idx="1586">
                  <c:v>0.98702108752862372</c:v>
                </c:pt>
                <c:pt idx="1587">
                  <c:v>0.88643451587545719</c:v>
                </c:pt>
                <c:pt idx="1588">
                  <c:v>0.92537125328958603</c:v>
                </c:pt>
                <c:pt idx="1589">
                  <c:v>0.99026581564646776</c:v>
                </c:pt>
                <c:pt idx="1590">
                  <c:v>0.99351054376431192</c:v>
                </c:pt>
                <c:pt idx="1591">
                  <c:v>0.99351054376431192</c:v>
                </c:pt>
                <c:pt idx="1592">
                  <c:v>0.98377635941077968</c:v>
                </c:pt>
                <c:pt idx="1593">
                  <c:v>0.98377635941077968</c:v>
                </c:pt>
                <c:pt idx="1594">
                  <c:v>0.98377635941077968</c:v>
                </c:pt>
                <c:pt idx="1595">
                  <c:v>0.98377635941077968</c:v>
                </c:pt>
                <c:pt idx="1596">
                  <c:v>0.99026581564646776</c:v>
                </c:pt>
                <c:pt idx="1597">
                  <c:v>0.98864345158754574</c:v>
                </c:pt>
                <c:pt idx="1598">
                  <c:v>0.99026581564646776</c:v>
                </c:pt>
                <c:pt idx="1599">
                  <c:v>0.99351054376431192</c:v>
                </c:pt>
                <c:pt idx="1600">
                  <c:v>0.99351054376431192</c:v>
                </c:pt>
                <c:pt idx="1601">
                  <c:v>0.99026581564646776</c:v>
                </c:pt>
                <c:pt idx="1602">
                  <c:v>0.99351054376431192</c:v>
                </c:pt>
                <c:pt idx="1603">
                  <c:v>0.99351054376431192</c:v>
                </c:pt>
                <c:pt idx="1604">
                  <c:v>0.97728690317509148</c:v>
                </c:pt>
                <c:pt idx="1605">
                  <c:v>0.97728690317509148</c:v>
                </c:pt>
                <c:pt idx="1606">
                  <c:v>0.97728690317509148</c:v>
                </c:pt>
                <c:pt idx="1607">
                  <c:v>0.9789092672340135</c:v>
                </c:pt>
                <c:pt idx="1608">
                  <c:v>0.9789092672340135</c:v>
                </c:pt>
                <c:pt idx="1609">
                  <c:v>0.97728690317509148</c:v>
                </c:pt>
              </c:numCache>
            </c:numRef>
          </c:val>
          <c:smooth val="0"/>
          <c:extLst>
            <c:ext xmlns:c16="http://schemas.microsoft.com/office/drawing/2014/chart" uri="{C3380CC4-5D6E-409C-BE32-E72D297353CC}">
              <c16:uniqueId val="{00000011-AE69-4523-B92A-03F5BC2C4ECD}"/>
            </c:ext>
          </c:extLst>
        </c:ser>
        <c:dLbls>
          <c:showLegendKey val="0"/>
          <c:showVal val="0"/>
          <c:showCatName val="0"/>
          <c:showSerName val="0"/>
          <c:showPercent val="0"/>
          <c:showBubbleSize val="0"/>
        </c:dLbls>
        <c:marker val="1"/>
        <c:smooth val="0"/>
        <c:axId val="3"/>
        <c:axId val="4"/>
      </c:lineChart>
      <c:dateAx>
        <c:axId val="491055320"/>
        <c:scaling>
          <c:orientation val="minMax"/>
          <c:max val="45412"/>
          <c:min val="44742"/>
        </c:scaling>
        <c:delete val="0"/>
        <c:axPos val="b"/>
        <c:numFmt formatCode="dd/mm/yyyy;@" sourceLinked="0"/>
        <c:majorTickMark val="out"/>
        <c:minorTickMark val="none"/>
        <c:tickLblPos val="nextTo"/>
        <c:spPr>
          <a:ln w="6350">
            <a:noFill/>
          </a:ln>
        </c:spPr>
        <c:txPr>
          <a:bodyPr rot="-2700000" vert="horz"/>
          <a:lstStyle/>
          <a:p>
            <a:pPr>
              <a:defRPr sz="8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91055320"/>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8.2487715948116075E-2"/>
          <c:y val="2.4251651801443369E-2"/>
          <c:w val="0.28753229251242296"/>
          <c:h val="6.7799353135156754E-2"/>
        </c:manualLayout>
      </c:layout>
      <c:overlay val="0"/>
      <c:spPr>
        <a:noFill/>
        <a:ln w="25400">
          <a:noFill/>
        </a:ln>
      </c:spPr>
      <c:txPr>
        <a:bodyPr/>
        <a:lstStyle/>
        <a:p>
          <a:pPr>
            <a:defRPr sz="8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0.97</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8.0</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0.094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0.0048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8.0</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0.97</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0.0048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0.094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671</Words>
  <Characters>3626</Characters>
  <Application>Microsoft Office Word</Application>
  <DocSecurity>0</DocSecurity>
  <Lines>226</Lines>
  <Paragraphs>165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2</cp:revision>
  <cp:lastPrinted>2020-04-17T01:08:00Z</cp:lastPrinted>
  <dcterms:created xsi:type="dcterms:W3CDTF">2024-07-12T00:55:00Z</dcterms:created>
  <dcterms:modified xsi:type="dcterms:W3CDTF">2024-07-12T00:55:00Z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